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A54C" w14:textId="00A9DE30" w:rsidR="004C4E01" w:rsidRDefault="004C4E01" w:rsidP="004C4E01">
      <w:pPr>
        <w:spacing w:after="160" w:line="360" w:lineRule="auto"/>
        <w:jc w:val="center"/>
        <w:rPr>
          <w:rFonts w:eastAsia="Calibri"/>
          <w:b/>
          <w:lang w:eastAsia="en-US"/>
        </w:rPr>
      </w:pPr>
      <w:bookmarkStart w:id="0" w:name="_Toc5444842"/>
      <w:r w:rsidRPr="004C4E01">
        <w:rPr>
          <w:rFonts w:eastAsia="Calibri"/>
          <w:b/>
          <w:lang w:eastAsia="en-US"/>
        </w:rPr>
        <w:t>ПАСПОРТ ПРОЦЕССА (УСЛУГИ)</w:t>
      </w:r>
    </w:p>
    <w:p w14:paraId="0FBD8273" w14:textId="77777777" w:rsidR="00A61014" w:rsidRPr="004C4E01" w:rsidRDefault="00A61014" w:rsidP="004C4E01">
      <w:pPr>
        <w:spacing w:after="160" w:line="360" w:lineRule="auto"/>
        <w:jc w:val="center"/>
        <w:rPr>
          <w:rFonts w:eastAsia="Calibri"/>
          <w:b/>
          <w:lang w:eastAsia="en-US"/>
        </w:rPr>
      </w:pPr>
    </w:p>
    <w:p w14:paraId="76A7DD02" w14:textId="7442334B" w:rsidR="000965A1" w:rsidRDefault="00933AA8" w:rsidP="004C4E01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</w:r>
      <w:r w:rsidR="000965A1" w:rsidRPr="00480412">
        <w:rPr>
          <w:rFonts w:ascii="Times New Roman" w:hAnsi="Times New Roman"/>
          <w:color w:val="auto"/>
          <w:sz w:val="26"/>
          <w:szCs w:val="26"/>
        </w:rPr>
        <w:t>«Прием</w:t>
      </w:r>
      <w:r w:rsidR="001F1D68" w:rsidRPr="00480412">
        <w:rPr>
          <w:rFonts w:ascii="Times New Roman" w:hAnsi="Times New Roman"/>
          <w:color w:val="auto"/>
          <w:sz w:val="26"/>
          <w:szCs w:val="26"/>
          <w:lang w:val="ru-RU"/>
        </w:rPr>
        <w:t xml:space="preserve"> от потребителя</w:t>
      </w:r>
      <w:r w:rsidR="000965A1" w:rsidRPr="00480412">
        <w:rPr>
          <w:rFonts w:ascii="Times New Roman" w:hAnsi="Times New Roman"/>
          <w:color w:val="auto"/>
          <w:sz w:val="26"/>
          <w:szCs w:val="26"/>
        </w:rPr>
        <w:t xml:space="preserve"> показаний приборов учета</w:t>
      </w:r>
      <w:r w:rsidR="001F1D68" w:rsidRPr="00480412">
        <w:rPr>
          <w:rFonts w:ascii="Times New Roman" w:hAnsi="Times New Roman"/>
          <w:color w:val="auto"/>
          <w:sz w:val="26"/>
          <w:szCs w:val="26"/>
          <w:lang w:val="ru-RU"/>
        </w:rPr>
        <w:t>, не присоединенных к интеллектуальной системе учета</w:t>
      </w:r>
      <w:r w:rsidR="000965A1" w:rsidRPr="00480412">
        <w:rPr>
          <w:rFonts w:ascii="Times New Roman" w:hAnsi="Times New Roman"/>
          <w:color w:val="auto"/>
          <w:sz w:val="26"/>
          <w:szCs w:val="26"/>
        </w:rPr>
        <w:t>»</w:t>
      </w:r>
      <w:bookmarkEnd w:id="0"/>
    </w:p>
    <w:p w14:paraId="2AB6AE75" w14:textId="77777777" w:rsidR="00A61014" w:rsidRPr="00A61014" w:rsidRDefault="00A61014" w:rsidP="00A61014">
      <w:pPr>
        <w:rPr>
          <w:lang w:val="x-none"/>
        </w:rPr>
      </w:pPr>
    </w:p>
    <w:p w14:paraId="22A0DB61" w14:textId="77777777" w:rsidR="00480412" w:rsidRPr="00480412" w:rsidRDefault="00480412" w:rsidP="00480412">
      <w:pPr>
        <w:rPr>
          <w:lang w:val="x-none"/>
        </w:rPr>
      </w:pPr>
    </w:p>
    <w:p w14:paraId="20D68EE3" w14:textId="77777777" w:rsidR="000965A1" w:rsidRPr="00276350" w:rsidRDefault="000965A1" w:rsidP="001F1D68">
      <w:pPr>
        <w:spacing w:before="120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Круг заявителей (потребителей):</w:t>
      </w:r>
      <w:r w:rsidRPr="00276350">
        <w:rPr>
          <w:b/>
          <w:color w:val="548DD4"/>
          <w:sz w:val="26"/>
          <w:szCs w:val="26"/>
        </w:rPr>
        <w:t xml:space="preserve"> </w:t>
      </w:r>
      <w:r w:rsidRPr="00276350">
        <w:rPr>
          <w:sz w:val="26"/>
          <w:szCs w:val="26"/>
        </w:rPr>
        <w:t>юридические и физические лица, индивидуальные предприниматели.</w:t>
      </w:r>
    </w:p>
    <w:p w14:paraId="6234695D" w14:textId="77777777" w:rsidR="000965A1" w:rsidRPr="00276350" w:rsidRDefault="000965A1" w:rsidP="001F1D68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76350">
        <w:rPr>
          <w:rFonts w:ascii="Times New Roman" w:hAnsi="Times New Roman" w:cs="Times New Roman"/>
          <w:b/>
          <w:sz w:val="26"/>
          <w:szCs w:val="26"/>
          <w:lang w:eastAsia="ru-RU"/>
        </w:rPr>
        <w:t>Размер платы за предоставление услуги (процесса) и основание ее взимания:</w:t>
      </w:r>
      <w:r w:rsidRPr="00276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6350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14:paraId="0FBAF8E5" w14:textId="7CD97515" w:rsidR="000965A1" w:rsidRPr="00276350" w:rsidRDefault="000965A1" w:rsidP="001F1D6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Условия оказания услуги (процесса):</w:t>
      </w:r>
      <w:r w:rsidRPr="00276350">
        <w:rPr>
          <w:sz w:val="26"/>
          <w:szCs w:val="26"/>
        </w:rPr>
        <w:t xml:space="preserve"> технологическое присоединение к электрическим сетям </w:t>
      </w:r>
      <w:r w:rsidRPr="00F06E0D">
        <w:rPr>
          <w:sz w:val="26"/>
          <w:szCs w:val="26"/>
        </w:rPr>
        <w:t>АО «</w:t>
      </w:r>
      <w:r w:rsidR="00710A43">
        <w:rPr>
          <w:sz w:val="26"/>
          <w:szCs w:val="22"/>
        </w:rPr>
        <w:t>Тверьгорэлектро</w:t>
      </w:r>
      <w:r w:rsidRPr="00F06E0D"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276350">
        <w:rPr>
          <w:sz w:val="26"/>
          <w:szCs w:val="26"/>
        </w:rPr>
        <w:t xml:space="preserve">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заключенный с </w:t>
      </w:r>
      <w:r w:rsidRPr="00F06E0D">
        <w:rPr>
          <w:sz w:val="26"/>
          <w:szCs w:val="26"/>
        </w:rPr>
        <w:t>АО «</w:t>
      </w:r>
      <w:r w:rsidR="000C59F9">
        <w:rPr>
          <w:sz w:val="26"/>
          <w:szCs w:val="22"/>
        </w:rPr>
        <w:t>Тверьгорэлектро</w:t>
      </w:r>
      <w:r w:rsidRPr="00F06E0D"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276350">
        <w:rPr>
          <w:sz w:val="26"/>
          <w:szCs w:val="26"/>
        </w:rPr>
        <w:t>договор оказания услуг по передаче электрической энергии, договор купли-продажи (поставки) электрической энергии (мощности).</w:t>
      </w:r>
    </w:p>
    <w:p w14:paraId="12EB1015" w14:textId="77777777" w:rsidR="000965A1" w:rsidRPr="00276350" w:rsidRDefault="000965A1" w:rsidP="001F1D6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Результат оказания услуги (процесса):</w:t>
      </w:r>
      <w:r w:rsidRPr="00276350">
        <w:rPr>
          <w:b/>
          <w:color w:val="548DD4"/>
          <w:sz w:val="26"/>
          <w:szCs w:val="26"/>
        </w:rPr>
        <w:t xml:space="preserve"> </w:t>
      </w:r>
      <w:r w:rsidRPr="00276350">
        <w:rPr>
          <w:sz w:val="26"/>
          <w:szCs w:val="26"/>
        </w:rPr>
        <w:t>прием показаний приборов учета.</w:t>
      </w:r>
    </w:p>
    <w:p w14:paraId="5ED4B385" w14:textId="77777777" w:rsidR="000965A1" w:rsidRPr="00276350" w:rsidRDefault="000965A1" w:rsidP="001F1D68">
      <w:pPr>
        <w:spacing w:before="120"/>
        <w:jc w:val="both"/>
        <w:outlineLvl w:val="0"/>
        <w:rPr>
          <w:b/>
          <w:color w:val="548DD4"/>
        </w:rPr>
      </w:pPr>
      <w:r w:rsidRPr="00276350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0"/>
        <w:gridCol w:w="2609"/>
        <w:gridCol w:w="2597"/>
        <w:gridCol w:w="2281"/>
        <w:gridCol w:w="2450"/>
        <w:gridCol w:w="2106"/>
      </w:tblGrid>
      <w:tr w:rsidR="000965A1" w:rsidRPr="007F2723" w14:paraId="3894F624" w14:textId="77777777" w:rsidTr="00451CA2">
        <w:trPr>
          <w:tblHeader/>
        </w:trPr>
        <w:tc>
          <w:tcPr>
            <w:tcW w:w="167" w:type="pct"/>
            <w:shd w:val="clear" w:color="auto" w:fill="auto"/>
          </w:tcPr>
          <w:p w14:paraId="20F7D082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14:paraId="5E06C0E0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14:paraId="44222D50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04" w:type="pct"/>
            <w:shd w:val="clear" w:color="auto" w:fill="auto"/>
          </w:tcPr>
          <w:p w14:paraId="6E312B07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4" w:type="pct"/>
            <w:shd w:val="clear" w:color="auto" w:fill="auto"/>
          </w:tcPr>
          <w:p w14:paraId="6F4CAAFE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853" w:type="pct"/>
            <w:shd w:val="clear" w:color="auto" w:fill="auto"/>
          </w:tcPr>
          <w:p w14:paraId="6B48D16D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733" w:type="pct"/>
            <w:shd w:val="clear" w:color="auto" w:fill="auto"/>
          </w:tcPr>
          <w:p w14:paraId="639725E0" w14:textId="77777777"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0965A1" w:rsidRPr="00276350" w14:paraId="7747B412" w14:textId="77777777" w:rsidTr="00451CA2">
        <w:tc>
          <w:tcPr>
            <w:tcW w:w="167" w:type="pct"/>
            <w:shd w:val="clear" w:color="auto" w:fill="auto"/>
          </w:tcPr>
          <w:p w14:paraId="45B38EE8" w14:textId="77777777" w:rsidR="000965A1" w:rsidRPr="007F2723" w:rsidRDefault="000965A1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14:paraId="147E2D3B" w14:textId="77777777" w:rsidR="000965A1" w:rsidRPr="007F2723" w:rsidRDefault="000965A1" w:rsidP="00451CA2">
            <w:pPr>
              <w:jc w:val="both"/>
            </w:pPr>
            <w:r w:rsidRPr="007F2723">
              <w:rPr>
                <w:sz w:val="22"/>
                <w:szCs w:val="22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shd w:val="clear" w:color="auto" w:fill="auto"/>
          </w:tcPr>
          <w:p w14:paraId="4799E6D5" w14:textId="11059849" w:rsidR="000965A1" w:rsidRPr="00DE0E0E" w:rsidRDefault="000965A1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DE0E0E">
              <w:rPr>
                <w:sz w:val="22"/>
                <w:szCs w:val="22"/>
              </w:rPr>
              <w:t>АО «</w:t>
            </w:r>
            <w:r w:rsidR="000C59F9">
              <w:rPr>
                <w:sz w:val="22"/>
                <w:szCs w:val="22"/>
              </w:rPr>
              <w:t>Тверьгорэлектро</w:t>
            </w:r>
            <w:r w:rsidRPr="00DE0E0E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договор оказания услуг по передаче электрической энергии</w:t>
            </w:r>
          </w:p>
        </w:tc>
        <w:tc>
          <w:tcPr>
            <w:tcW w:w="904" w:type="pct"/>
            <w:shd w:val="clear" w:color="auto" w:fill="auto"/>
          </w:tcPr>
          <w:p w14:paraId="76394E45" w14:textId="6B352DEE" w:rsidR="000965A1" w:rsidRPr="00DE0E0E" w:rsidRDefault="000965A1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</w:t>
            </w:r>
            <w:r w:rsidRPr="007F2723">
              <w:rPr>
                <w:sz w:val="22"/>
                <w:szCs w:val="22"/>
              </w:rPr>
              <w:lastRenderedPageBreak/>
              <w:t xml:space="preserve">организации) и </w:t>
            </w:r>
            <w:r w:rsidRPr="00DE0E0E">
              <w:rPr>
                <w:sz w:val="22"/>
                <w:szCs w:val="22"/>
              </w:rPr>
              <w:t>АО «</w:t>
            </w:r>
            <w:r w:rsidR="000C59F9">
              <w:rPr>
                <w:sz w:val="22"/>
                <w:szCs w:val="22"/>
              </w:rPr>
              <w:t>Тверьгорэлектро</w:t>
            </w:r>
            <w:r w:rsidRPr="00DE0E0E">
              <w:rPr>
                <w:sz w:val="22"/>
                <w:szCs w:val="22"/>
              </w:rPr>
              <w:t>»</w:t>
            </w:r>
          </w:p>
        </w:tc>
        <w:tc>
          <w:tcPr>
            <w:tcW w:w="794" w:type="pct"/>
            <w:shd w:val="clear" w:color="auto" w:fill="auto"/>
          </w:tcPr>
          <w:p w14:paraId="0F7CA58E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14:paraId="3BE7EF0F" w14:textId="77777777" w:rsidR="000965A1" w:rsidRPr="007F2723" w:rsidRDefault="000965A1" w:rsidP="00451CA2">
            <w:pPr>
              <w:jc w:val="both"/>
            </w:pPr>
          </w:p>
        </w:tc>
        <w:tc>
          <w:tcPr>
            <w:tcW w:w="853" w:type="pct"/>
            <w:shd w:val="clear" w:color="auto" w:fill="auto"/>
          </w:tcPr>
          <w:p w14:paraId="4BCAEE50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 соответствии с договором оказания услуг по передаче электрической энергии.</w:t>
            </w:r>
          </w:p>
          <w:p w14:paraId="43254110" w14:textId="77777777" w:rsidR="000965A1" w:rsidRPr="007F2723" w:rsidRDefault="000965A1" w:rsidP="00451CA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14:paraId="073DE007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</w:t>
            </w:r>
            <w:r w:rsidRPr="009C127C">
              <w:rPr>
                <w:sz w:val="22"/>
                <w:szCs w:val="22"/>
              </w:rPr>
              <w:t xml:space="preserve">предоставляются в порядке, определенном пунктом 159 Основных положений </w:t>
            </w:r>
            <w:r w:rsidRPr="009C127C">
              <w:rPr>
                <w:sz w:val="22"/>
                <w:szCs w:val="22"/>
              </w:rPr>
              <w:lastRenderedPageBreak/>
              <w:t>функционирования</w:t>
            </w:r>
            <w:r>
              <w:rPr>
                <w:sz w:val="22"/>
                <w:szCs w:val="22"/>
              </w:rPr>
              <w:t xml:space="preserve"> розничных рынков электрической энергии</w:t>
            </w:r>
            <w:r w:rsidRPr="007F2723" w:rsidDel="008A6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396F036C" w14:textId="62EDEDF8" w:rsidR="009C127C" w:rsidRPr="009C127C" w:rsidRDefault="000965A1" w:rsidP="009C12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lastRenderedPageBreak/>
              <w:t>Пункты</w:t>
            </w:r>
            <w:r>
              <w:rPr>
                <w:sz w:val="22"/>
                <w:szCs w:val="22"/>
              </w:rPr>
              <w:t xml:space="preserve"> 159,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160, </w:t>
            </w:r>
            <w:r w:rsidRPr="007F2723">
              <w:rPr>
                <w:sz w:val="22"/>
                <w:szCs w:val="22"/>
              </w:rPr>
              <w:t xml:space="preserve">161, </w:t>
            </w:r>
            <w:r>
              <w:rPr>
                <w:sz w:val="22"/>
                <w:szCs w:val="22"/>
              </w:rPr>
              <w:t xml:space="preserve">162, </w:t>
            </w:r>
            <w:r w:rsidRPr="007F2723">
              <w:rPr>
                <w:sz w:val="22"/>
                <w:szCs w:val="22"/>
              </w:rPr>
              <w:t xml:space="preserve">163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="009C127C" w:rsidRPr="009C127C">
              <w:rPr>
                <w:sz w:val="22"/>
                <w:szCs w:val="22"/>
              </w:rPr>
              <w:t>, утвержденных постановлением Правительства РФ от 04.05.2012 № 442</w:t>
            </w:r>
          </w:p>
          <w:p w14:paraId="6BC81E85" w14:textId="72E3119C" w:rsidR="000965A1" w:rsidRPr="007F2723" w:rsidRDefault="000965A1" w:rsidP="00451CA2">
            <w:pPr>
              <w:jc w:val="both"/>
            </w:pPr>
          </w:p>
        </w:tc>
      </w:tr>
      <w:tr w:rsidR="000965A1" w:rsidRPr="00276350" w14:paraId="13C8D7DC" w14:textId="77777777" w:rsidTr="00451CA2">
        <w:trPr>
          <w:trHeight w:val="400"/>
        </w:trPr>
        <w:tc>
          <w:tcPr>
            <w:tcW w:w="167" w:type="pct"/>
            <w:shd w:val="clear" w:color="auto" w:fill="auto"/>
          </w:tcPr>
          <w:p w14:paraId="14D41C24" w14:textId="77777777" w:rsidR="000965A1" w:rsidRPr="007F2723" w:rsidRDefault="000965A1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14:paraId="28483F76" w14:textId="3593461D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Передача показаний расчетных приборов учета гарантирующему поставщику (энергосбытово</w:t>
            </w:r>
            <w:r w:rsidR="009C127C">
              <w:rPr>
                <w:sz w:val="22"/>
                <w:szCs w:val="22"/>
              </w:rPr>
              <w:t>й</w:t>
            </w:r>
            <w:r w:rsidRPr="007F2723">
              <w:rPr>
                <w:sz w:val="22"/>
                <w:szCs w:val="22"/>
              </w:rPr>
              <w:t>, энергоснабжающей организации)</w:t>
            </w:r>
          </w:p>
        </w:tc>
        <w:tc>
          <w:tcPr>
            <w:tcW w:w="908" w:type="pct"/>
            <w:shd w:val="clear" w:color="auto" w:fill="auto"/>
          </w:tcPr>
          <w:p w14:paraId="76B7560D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14:paraId="726D15CC" w14:textId="77777777" w:rsidR="000965A1" w:rsidRPr="007F2723" w:rsidRDefault="000965A1" w:rsidP="00451CA2">
            <w:pPr>
              <w:jc w:val="both"/>
            </w:pPr>
          </w:p>
        </w:tc>
        <w:tc>
          <w:tcPr>
            <w:tcW w:w="904" w:type="pct"/>
            <w:shd w:val="clear" w:color="auto" w:fill="auto"/>
          </w:tcPr>
          <w:p w14:paraId="5DEA34A9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4" w:type="pct"/>
            <w:shd w:val="clear" w:color="auto" w:fill="auto"/>
          </w:tcPr>
          <w:p w14:paraId="7CF3137A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shd w:val="clear" w:color="auto" w:fill="auto"/>
          </w:tcPr>
          <w:p w14:paraId="143F3898" w14:textId="77777777"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9C127C">
              <w:rPr>
                <w:rFonts w:hint="eastAsia"/>
                <w:sz w:val="22"/>
                <w:szCs w:val="22"/>
              </w:rPr>
              <w:t>В</w:t>
            </w:r>
            <w:r w:rsidRPr="009C127C">
              <w:rPr>
                <w:sz w:val="22"/>
                <w:szCs w:val="22"/>
              </w:rPr>
              <w:t xml:space="preserve"> сроки и порядке, определенном пунктом 159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</w:t>
            </w:r>
          </w:p>
        </w:tc>
        <w:tc>
          <w:tcPr>
            <w:tcW w:w="733" w:type="pct"/>
            <w:shd w:val="clear" w:color="auto" w:fill="auto"/>
          </w:tcPr>
          <w:p w14:paraId="586AC9B4" w14:textId="3C695D62" w:rsidR="000965A1" w:rsidRPr="007F2723" w:rsidRDefault="000965A1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 </w:t>
            </w:r>
            <w:proofErr w:type="gramStart"/>
            <w:r>
              <w:rPr>
                <w:sz w:val="22"/>
                <w:szCs w:val="22"/>
              </w:rPr>
              <w:t xml:space="preserve">160 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proofErr w:type="gramEnd"/>
            <w:r>
              <w:rPr>
                <w:sz w:val="22"/>
                <w:szCs w:val="22"/>
              </w:rPr>
              <w:t xml:space="preserve"> положений функционирования розничных рынков электрической энергии</w:t>
            </w:r>
            <w:r w:rsidR="00933AA8">
              <w:rPr>
                <w:sz w:val="22"/>
                <w:szCs w:val="22"/>
              </w:rPr>
              <w:t xml:space="preserve">, </w:t>
            </w:r>
            <w:r w:rsidR="00933AA8" w:rsidRPr="009C127C">
              <w:rPr>
                <w:sz w:val="22"/>
                <w:szCs w:val="22"/>
              </w:rPr>
              <w:t>утвержденных постановлением Правительства РФ от 04.05.2012 № 442</w:t>
            </w:r>
          </w:p>
        </w:tc>
      </w:tr>
    </w:tbl>
    <w:p w14:paraId="3B10E28B" w14:textId="77777777" w:rsidR="00480412" w:rsidRDefault="00480412" w:rsidP="000965A1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6"/>
          <w:szCs w:val="26"/>
        </w:rPr>
      </w:pPr>
    </w:p>
    <w:p w14:paraId="48802D63" w14:textId="77777777" w:rsidR="001471F9" w:rsidRDefault="001471F9" w:rsidP="001471F9">
      <w:pPr>
        <w:autoSpaceDE w:val="0"/>
        <w:autoSpaceDN w:val="0"/>
        <w:adjustRightInd w:val="0"/>
        <w:ind w:firstLine="567"/>
        <w:jc w:val="both"/>
      </w:pPr>
      <w:r w:rsidRPr="00F973CA">
        <w:rPr>
          <w:b/>
        </w:rPr>
        <w:t>Контактная информация для направления обращений:</w:t>
      </w:r>
      <w:r w:rsidRPr="00F973CA">
        <w:t xml:space="preserve"> </w:t>
      </w:r>
    </w:p>
    <w:p w14:paraId="785A1431" w14:textId="77777777" w:rsidR="001471F9" w:rsidRPr="00F973CA" w:rsidRDefault="001471F9" w:rsidP="001471F9">
      <w:pPr>
        <w:autoSpaceDE w:val="0"/>
        <w:autoSpaceDN w:val="0"/>
        <w:adjustRightInd w:val="0"/>
        <w:jc w:val="both"/>
      </w:pPr>
    </w:p>
    <w:p w14:paraId="32C584DA" w14:textId="77777777" w:rsidR="001471F9" w:rsidRPr="00F973CA" w:rsidRDefault="001471F9" w:rsidP="001471F9">
      <w:pPr>
        <w:shd w:val="clear" w:color="auto" w:fill="FFFFFF"/>
        <w:spacing w:after="75"/>
      </w:pPr>
      <w:r w:rsidRPr="00F973CA">
        <w:t xml:space="preserve">Почтовый адрес электронной почты АО «Тверьгорэлектро»: </w:t>
      </w:r>
      <w:hyperlink r:id="rId7" w:tgtFrame="_blank" w:history="1">
        <w:r w:rsidRPr="00F973CA">
          <w:t xml:space="preserve">г. Тверь, ул. </w:t>
        </w:r>
        <w:proofErr w:type="spellStart"/>
        <w:r w:rsidRPr="00F973CA">
          <w:t>Ротмистрова</w:t>
        </w:r>
        <w:proofErr w:type="spellEnd"/>
        <w:r w:rsidRPr="00F973CA">
          <w:t>, 27</w:t>
        </w:r>
      </w:hyperlink>
    </w:p>
    <w:p w14:paraId="5E866C25" w14:textId="77777777" w:rsidR="001471F9" w:rsidRPr="00F973CA" w:rsidRDefault="001471F9" w:rsidP="001471F9">
      <w:pPr>
        <w:shd w:val="clear" w:color="auto" w:fill="FFFFFF"/>
        <w:spacing w:after="75"/>
      </w:pPr>
      <w:r w:rsidRPr="00F973CA">
        <w:t xml:space="preserve">Адрес электронной почты АО «Тверьгорэлектро»: </w:t>
      </w:r>
      <w:hyperlink r:id="rId8" w:history="1">
        <w:r w:rsidRPr="00F973CA">
          <w:t>muptge@tver-elektro.ru</w:t>
        </w:r>
      </w:hyperlink>
    </w:p>
    <w:p w14:paraId="65EFB62F" w14:textId="77777777" w:rsidR="001471F9" w:rsidRDefault="001471F9" w:rsidP="001471F9">
      <w:pPr>
        <w:spacing w:after="239" w:line="1" w:lineRule="exact"/>
      </w:pPr>
    </w:p>
    <w:p w14:paraId="382D14BF" w14:textId="77777777" w:rsidR="001471F9" w:rsidRPr="00804B72" w:rsidRDefault="001471F9" w:rsidP="001471F9">
      <w:pPr>
        <w:spacing w:line="1" w:lineRule="exact"/>
        <w:rPr>
          <w:sz w:val="22"/>
          <w:szCs w:val="22"/>
        </w:rPr>
      </w:pPr>
    </w:p>
    <w:p w14:paraId="22085F19" w14:textId="5E938BB8" w:rsidR="009D1549" w:rsidRDefault="009D1549" w:rsidP="000965A1">
      <w:bookmarkStart w:id="1" w:name="_GoBack"/>
      <w:bookmarkEnd w:id="1"/>
    </w:p>
    <w:sectPr w:rsidR="009D1549" w:rsidSect="000965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3604" w14:textId="77777777" w:rsidR="00A92B1D" w:rsidRDefault="00A92B1D" w:rsidP="000965A1">
      <w:r>
        <w:separator/>
      </w:r>
    </w:p>
  </w:endnote>
  <w:endnote w:type="continuationSeparator" w:id="0">
    <w:p w14:paraId="0BCC9B38" w14:textId="77777777" w:rsidR="00A92B1D" w:rsidRDefault="00A92B1D" w:rsidP="000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08F7" w14:textId="77777777" w:rsidR="00A92B1D" w:rsidRDefault="00A92B1D" w:rsidP="000965A1">
      <w:r>
        <w:separator/>
      </w:r>
    </w:p>
  </w:footnote>
  <w:footnote w:type="continuationSeparator" w:id="0">
    <w:p w14:paraId="10A20ED6" w14:textId="77777777" w:rsidR="00A92B1D" w:rsidRDefault="00A92B1D" w:rsidP="0009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713"/>
    <w:multiLevelType w:val="multilevel"/>
    <w:tmpl w:val="1AF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4E3797"/>
    <w:multiLevelType w:val="multilevel"/>
    <w:tmpl w:val="BEB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44"/>
    <w:rsid w:val="000965A1"/>
    <w:rsid w:val="000C48D0"/>
    <w:rsid w:val="000C59F9"/>
    <w:rsid w:val="001471F9"/>
    <w:rsid w:val="001A4744"/>
    <w:rsid w:val="001F1D68"/>
    <w:rsid w:val="00480412"/>
    <w:rsid w:val="004C4E01"/>
    <w:rsid w:val="00710A43"/>
    <w:rsid w:val="008631A5"/>
    <w:rsid w:val="00933AA8"/>
    <w:rsid w:val="009C127C"/>
    <w:rsid w:val="009D1549"/>
    <w:rsid w:val="00A61014"/>
    <w:rsid w:val="00A92B1D"/>
    <w:rsid w:val="00E951F0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62B"/>
  <w15:chartTrackingRefBased/>
  <w15:docId w15:val="{21E31242-11DB-4AB1-8A05-2DD83F1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5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0965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nhideWhenUsed/>
    <w:rsid w:val="000965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33AA8"/>
    <w:rPr>
      <w:color w:val="0000FF"/>
      <w:u w:val="single"/>
    </w:rPr>
  </w:style>
  <w:style w:type="table" w:styleId="a5">
    <w:name w:val="Table Grid"/>
    <w:basedOn w:val="a1"/>
    <w:uiPriority w:val="39"/>
    <w:rsid w:val="004C4E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tge@tver-elekt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14/tver/house/ulitsa_rotmistrova_27/Z0wYfwVoTEAGQFtsfXR1d35jbQ==/?ll=35.928551%2C56.846209&amp;utm_source=main_stripe_big&amp;z=17.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Семенко Роман Владимирович</cp:lastModifiedBy>
  <cp:revision>3</cp:revision>
  <dcterms:created xsi:type="dcterms:W3CDTF">2023-02-16T12:28:00Z</dcterms:created>
  <dcterms:modified xsi:type="dcterms:W3CDTF">2023-02-16T12:49:00Z</dcterms:modified>
</cp:coreProperties>
</file>