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D4F9" w14:textId="426BF3CE" w:rsidR="00D633DA" w:rsidRDefault="00D633DA" w:rsidP="007420E7">
      <w:pPr>
        <w:pStyle w:val="1"/>
        <w:rPr>
          <w:b/>
          <w:bCs/>
        </w:rPr>
      </w:pPr>
    </w:p>
    <w:p w14:paraId="08BBDA0A" w14:textId="7E4B7D5D" w:rsidR="00854C1D" w:rsidRDefault="00854C1D" w:rsidP="007420E7">
      <w:pPr>
        <w:pStyle w:val="1"/>
        <w:tabs>
          <w:tab w:val="left" w:pos="14067"/>
        </w:tabs>
        <w:spacing w:after="0"/>
        <w:jc w:val="center"/>
        <w:rPr>
          <w:b/>
          <w:bCs/>
        </w:rPr>
      </w:pPr>
      <w:r>
        <w:rPr>
          <w:b/>
          <w:bCs/>
        </w:rPr>
        <w:t>ПАСПОРТ УСЛУГИ (ПРОЦЕССА)</w:t>
      </w:r>
    </w:p>
    <w:p w14:paraId="31154715" w14:textId="77777777" w:rsidR="007420E7" w:rsidRDefault="007420E7" w:rsidP="007420E7">
      <w:pPr>
        <w:pStyle w:val="1"/>
        <w:tabs>
          <w:tab w:val="left" w:pos="14067"/>
        </w:tabs>
        <w:spacing w:after="0"/>
        <w:ind w:left="3200"/>
        <w:jc w:val="center"/>
        <w:rPr>
          <w:b/>
          <w:bCs/>
        </w:rPr>
      </w:pPr>
    </w:p>
    <w:p w14:paraId="3B2EDBC4" w14:textId="3DDC8218" w:rsidR="00F9295D" w:rsidRDefault="00854C1D" w:rsidP="007420E7">
      <w:pPr>
        <w:pStyle w:val="1"/>
        <w:spacing w:after="220"/>
        <w:jc w:val="center"/>
      </w:pPr>
      <w:r>
        <w:rPr>
          <w:b/>
          <w:bCs/>
        </w:rPr>
        <w:t>С</w:t>
      </w:r>
      <w:r w:rsidR="00D77BE4">
        <w:rPr>
          <w:b/>
          <w:bCs/>
        </w:rPr>
        <w:t>огласование места установки прибора учета, схемы подключения прибора учета и иных компонентов измерительных</w:t>
      </w:r>
      <w:r w:rsidR="007D6890">
        <w:rPr>
          <w:b/>
          <w:bCs/>
        </w:rPr>
        <w:t xml:space="preserve"> </w:t>
      </w:r>
      <w:r w:rsidR="00D77BE4">
        <w:rPr>
          <w:b/>
          <w:bCs/>
        </w:rPr>
        <w:t>комплексов и систем учета электрической энергии (мощности) в случае установки прибора учета потребителем в</w:t>
      </w:r>
      <w:r w:rsidR="007D6890">
        <w:rPr>
          <w:b/>
          <w:bCs/>
        </w:rPr>
        <w:t xml:space="preserve"> </w:t>
      </w:r>
      <w:r w:rsidR="00D77BE4">
        <w:rPr>
          <w:b/>
          <w:bCs/>
        </w:rPr>
        <w:t>отношении точек поставки розничных рынков электрической энергии, совпадающих с точками поставки, входящими в</w:t>
      </w:r>
      <w:r w:rsidR="007D6890">
        <w:rPr>
          <w:b/>
          <w:bCs/>
        </w:rPr>
        <w:t xml:space="preserve"> </w:t>
      </w:r>
      <w:r w:rsidR="00D77BE4">
        <w:rPr>
          <w:b/>
          <w:bCs/>
        </w:rPr>
        <w:t>состав групп точек</w:t>
      </w:r>
      <w:r w:rsidR="00D633DA">
        <w:rPr>
          <w:b/>
          <w:bCs/>
        </w:rPr>
        <w:t xml:space="preserve"> </w:t>
      </w:r>
      <w:r w:rsidR="00D77BE4">
        <w:rPr>
          <w:b/>
          <w:bCs/>
        </w:rPr>
        <w:t>поставки на оптовом рынке электрической энергии и мощности</w:t>
      </w:r>
    </w:p>
    <w:p w14:paraId="0FB1C5DF" w14:textId="77777777" w:rsidR="00F9295D" w:rsidRPr="00723A2A" w:rsidRDefault="00D77BE4">
      <w:pPr>
        <w:pStyle w:val="1"/>
      </w:pPr>
      <w:r w:rsidRPr="00723A2A">
        <w:rPr>
          <w:b/>
          <w:bCs/>
        </w:rPr>
        <w:t xml:space="preserve">Круг заявителей: </w:t>
      </w:r>
      <w:r w:rsidRPr="00723A2A">
        <w:t>юридические лица.</w:t>
      </w:r>
    </w:p>
    <w:p w14:paraId="3200C36B" w14:textId="77777777" w:rsidR="00F9295D" w:rsidRPr="00723A2A" w:rsidRDefault="00D77BE4">
      <w:pPr>
        <w:pStyle w:val="1"/>
      </w:pPr>
      <w:r w:rsidRPr="00723A2A">
        <w:rPr>
          <w:b/>
          <w:bCs/>
        </w:rPr>
        <w:t xml:space="preserve">Размер платы за предоставление услуги (процесса) и основание ее взимания: </w:t>
      </w:r>
      <w:r w:rsidRPr="00723A2A">
        <w:t>за предоставление услуги плата не взимается.</w:t>
      </w:r>
    </w:p>
    <w:p w14:paraId="6255BDAE" w14:textId="08526C2F" w:rsidR="00F9295D" w:rsidRPr="00723A2A" w:rsidRDefault="00D77BE4">
      <w:pPr>
        <w:pStyle w:val="1"/>
      </w:pPr>
      <w:r w:rsidRPr="00723A2A">
        <w:rPr>
          <w:b/>
          <w:bCs/>
        </w:rPr>
        <w:t>Условия оказания услуги (процесса)</w:t>
      </w:r>
      <w:r w:rsidRPr="00723A2A">
        <w:t>: заявитель присоединен к сетям АО «</w:t>
      </w:r>
      <w:r w:rsidR="007D6890" w:rsidRPr="00723A2A">
        <w:t>Тверьгорэлектро</w:t>
      </w:r>
      <w:r w:rsidRPr="00723A2A">
        <w:t>» или в отношении заявителя осуществляется процедура технологического присоединения к сетям АО «</w:t>
      </w:r>
      <w:r w:rsidR="007D6890" w:rsidRPr="00723A2A">
        <w:t>Тверьгорэлектро</w:t>
      </w:r>
      <w:r w:rsidRPr="00723A2A">
        <w:t xml:space="preserve">». При наличии запроса на установку (замену) прибора учета в соответствии с п. 152 </w:t>
      </w:r>
      <w:r w:rsidR="00D633DA" w:rsidRPr="00723A2A">
        <w:rPr>
          <w:color w:val="auto"/>
        </w:rPr>
        <w:t>ПП</w:t>
      </w:r>
      <w:r w:rsidRPr="00723A2A">
        <w:rPr>
          <w:color w:val="auto"/>
        </w:rPr>
        <w:t xml:space="preserve"> Р</w:t>
      </w:r>
      <w:r w:rsidRPr="00723A2A">
        <w:t>Ф от 04.05.2012 № 442.</w:t>
      </w:r>
    </w:p>
    <w:p w14:paraId="0E5AA5F0" w14:textId="77777777" w:rsidR="00F9295D" w:rsidRPr="00723A2A" w:rsidRDefault="00D77BE4">
      <w:pPr>
        <w:pStyle w:val="1"/>
      </w:pPr>
      <w:r w:rsidRPr="00723A2A">
        <w:rPr>
          <w:b/>
          <w:bCs/>
        </w:rPr>
        <w:t xml:space="preserve">Результат оказания услуги (процесса): </w:t>
      </w:r>
      <w:r w:rsidRPr="00723A2A">
        <w:t>письменный ответ о согласовании или об отказе в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электрической энергии.</w:t>
      </w:r>
    </w:p>
    <w:p w14:paraId="469CA6FA" w14:textId="77777777" w:rsidR="00F9295D" w:rsidRPr="00723A2A" w:rsidRDefault="00D77BE4">
      <w:pPr>
        <w:pStyle w:val="1"/>
      </w:pPr>
      <w:r w:rsidRPr="00723A2A">
        <w:rPr>
          <w:b/>
          <w:bCs/>
        </w:rPr>
        <w:t xml:space="preserve">Общий срок оказания услуги (процесса): </w:t>
      </w:r>
      <w:r w:rsidRPr="00723A2A">
        <w:t>в течение 10 рабочих дней со дня получения запроса от заявителя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w:t>
      </w:r>
    </w:p>
    <w:p w14:paraId="1126220A" w14:textId="260E6614" w:rsidR="007D6890" w:rsidRPr="00723A2A" w:rsidRDefault="00D77BE4" w:rsidP="00723A2A">
      <w:pPr>
        <w:pStyle w:val="a5"/>
        <w:rPr>
          <w:u w:val="none"/>
        </w:rPr>
      </w:pPr>
      <w:r w:rsidRPr="00723A2A">
        <w:rPr>
          <w:u w:val="none"/>
        </w:rPr>
        <w:t>Состав, последовательность и сроки оказания услуги (процесса):</w:t>
      </w:r>
    </w:p>
    <w:p w14:paraId="0754B728" w14:textId="58033732" w:rsidR="007D6890" w:rsidRPr="00723A2A" w:rsidRDefault="007D6890">
      <w:pPr>
        <w:pStyle w:val="a5"/>
        <w:ind w:left="86"/>
        <w:rPr>
          <w:u w:val="none"/>
        </w:rPr>
      </w:pPr>
    </w:p>
    <w:tbl>
      <w:tblPr>
        <w:tblStyle w:val="a8"/>
        <w:tblW w:w="14939" w:type="dxa"/>
        <w:jc w:val="center"/>
        <w:tblLayout w:type="fixed"/>
        <w:tblLook w:val="04A0" w:firstRow="1" w:lastRow="0" w:firstColumn="1" w:lastColumn="0" w:noHBand="0" w:noVBand="1"/>
      </w:tblPr>
      <w:tblGrid>
        <w:gridCol w:w="562"/>
        <w:gridCol w:w="2694"/>
        <w:gridCol w:w="4252"/>
        <w:gridCol w:w="1843"/>
        <w:gridCol w:w="2131"/>
        <w:gridCol w:w="1392"/>
        <w:gridCol w:w="2065"/>
      </w:tblGrid>
      <w:tr w:rsidR="007D6890" w14:paraId="04219B0A" w14:textId="77777777" w:rsidTr="00D633DA">
        <w:trPr>
          <w:jc w:val="center"/>
        </w:trPr>
        <w:tc>
          <w:tcPr>
            <w:tcW w:w="562" w:type="dxa"/>
            <w:vAlign w:val="center"/>
          </w:tcPr>
          <w:p w14:paraId="50554762" w14:textId="55D11ADF" w:rsidR="007D6890" w:rsidRPr="00D633DA" w:rsidRDefault="007D6890" w:rsidP="007D6890">
            <w:pPr>
              <w:pStyle w:val="a5"/>
              <w:jc w:val="center"/>
              <w:rPr>
                <w:b w:val="0"/>
                <w:sz w:val="22"/>
                <w:szCs w:val="22"/>
                <w:u w:val="none"/>
              </w:rPr>
            </w:pPr>
            <w:r w:rsidRPr="00D633DA">
              <w:rPr>
                <w:b w:val="0"/>
                <w:sz w:val="22"/>
                <w:szCs w:val="22"/>
                <w:u w:val="none"/>
              </w:rPr>
              <w:t>№ п/п</w:t>
            </w:r>
          </w:p>
        </w:tc>
        <w:tc>
          <w:tcPr>
            <w:tcW w:w="2694" w:type="dxa"/>
            <w:vAlign w:val="center"/>
          </w:tcPr>
          <w:p w14:paraId="72A04AEC" w14:textId="5200BA5F" w:rsidR="007D6890" w:rsidRPr="00D633DA" w:rsidRDefault="007D6890" w:rsidP="007D6890">
            <w:pPr>
              <w:pStyle w:val="a5"/>
              <w:jc w:val="center"/>
              <w:rPr>
                <w:b w:val="0"/>
                <w:sz w:val="22"/>
                <w:szCs w:val="22"/>
                <w:u w:val="none"/>
              </w:rPr>
            </w:pPr>
            <w:r w:rsidRPr="00D633DA">
              <w:rPr>
                <w:b w:val="0"/>
                <w:sz w:val="22"/>
                <w:szCs w:val="22"/>
                <w:u w:val="none"/>
              </w:rPr>
              <w:t>Этап</w:t>
            </w:r>
          </w:p>
        </w:tc>
        <w:tc>
          <w:tcPr>
            <w:tcW w:w="4252" w:type="dxa"/>
            <w:vAlign w:val="center"/>
          </w:tcPr>
          <w:p w14:paraId="0A673527" w14:textId="00FAB4CB" w:rsidR="007D6890" w:rsidRPr="00D633DA" w:rsidRDefault="007D6890" w:rsidP="007D6890">
            <w:pPr>
              <w:pStyle w:val="a5"/>
              <w:jc w:val="center"/>
              <w:rPr>
                <w:b w:val="0"/>
                <w:sz w:val="22"/>
                <w:szCs w:val="22"/>
                <w:u w:val="none"/>
              </w:rPr>
            </w:pPr>
            <w:r w:rsidRPr="00D633DA">
              <w:rPr>
                <w:b w:val="0"/>
                <w:sz w:val="22"/>
                <w:szCs w:val="22"/>
                <w:u w:val="none"/>
              </w:rPr>
              <w:t>Содержание/условия этапа</w:t>
            </w:r>
          </w:p>
        </w:tc>
        <w:tc>
          <w:tcPr>
            <w:tcW w:w="1843" w:type="dxa"/>
            <w:vAlign w:val="center"/>
          </w:tcPr>
          <w:p w14:paraId="346EBE8F" w14:textId="2CF680E7" w:rsidR="007D6890" w:rsidRPr="00D633DA" w:rsidRDefault="007D6890" w:rsidP="007D6890">
            <w:pPr>
              <w:pStyle w:val="a5"/>
              <w:jc w:val="center"/>
              <w:rPr>
                <w:b w:val="0"/>
                <w:sz w:val="22"/>
                <w:szCs w:val="22"/>
                <w:u w:val="none"/>
              </w:rPr>
            </w:pPr>
            <w:r w:rsidRPr="00D633DA">
              <w:rPr>
                <w:b w:val="0"/>
                <w:sz w:val="22"/>
                <w:szCs w:val="22"/>
                <w:u w:val="none"/>
              </w:rPr>
              <w:t>Форма предоставления</w:t>
            </w:r>
          </w:p>
        </w:tc>
        <w:tc>
          <w:tcPr>
            <w:tcW w:w="2131" w:type="dxa"/>
            <w:vAlign w:val="center"/>
          </w:tcPr>
          <w:p w14:paraId="17913FEE" w14:textId="07BBD765" w:rsidR="007D6890" w:rsidRPr="00D633DA" w:rsidRDefault="007D6890" w:rsidP="007D6890">
            <w:pPr>
              <w:pStyle w:val="a5"/>
              <w:jc w:val="center"/>
              <w:rPr>
                <w:b w:val="0"/>
                <w:sz w:val="22"/>
                <w:szCs w:val="22"/>
                <w:u w:val="none"/>
              </w:rPr>
            </w:pPr>
            <w:r w:rsidRPr="00D633DA">
              <w:rPr>
                <w:b w:val="0"/>
                <w:sz w:val="22"/>
                <w:szCs w:val="22"/>
                <w:u w:val="none"/>
              </w:rPr>
              <w:t>Результат</w:t>
            </w:r>
          </w:p>
        </w:tc>
        <w:tc>
          <w:tcPr>
            <w:tcW w:w="1392" w:type="dxa"/>
            <w:vAlign w:val="center"/>
          </w:tcPr>
          <w:p w14:paraId="3A4E47FB" w14:textId="4C42E285" w:rsidR="007D6890" w:rsidRPr="00D633DA" w:rsidRDefault="007D6890" w:rsidP="007D6890">
            <w:pPr>
              <w:pStyle w:val="a5"/>
              <w:jc w:val="center"/>
              <w:rPr>
                <w:b w:val="0"/>
                <w:sz w:val="22"/>
                <w:szCs w:val="22"/>
                <w:u w:val="none"/>
              </w:rPr>
            </w:pPr>
            <w:r w:rsidRPr="00D633DA">
              <w:rPr>
                <w:b w:val="0"/>
                <w:sz w:val="22"/>
                <w:szCs w:val="22"/>
                <w:u w:val="none"/>
              </w:rPr>
              <w:t>Срок исполнения</w:t>
            </w:r>
          </w:p>
        </w:tc>
        <w:tc>
          <w:tcPr>
            <w:tcW w:w="2065" w:type="dxa"/>
            <w:vAlign w:val="center"/>
          </w:tcPr>
          <w:p w14:paraId="682C3CB3" w14:textId="3CF8D994" w:rsidR="007D6890" w:rsidRPr="00D633DA" w:rsidRDefault="007D6890" w:rsidP="007D6890">
            <w:pPr>
              <w:pStyle w:val="a5"/>
              <w:jc w:val="center"/>
              <w:rPr>
                <w:b w:val="0"/>
                <w:sz w:val="22"/>
                <w:szCs w:val="22"/>
                <w:u w:val="none"/>
              </w:rPr>
            </w:pPr>
            <w:r w:rsidRPr="00D633DA">
              <w:rPr>
                <w:b w:val="0"/>
                <w:sz w:val="22"/>
                <w:szCs w:val="22"/>
                <w:u w:val="none"/>
              </w:rPr>
              <w:t>Ссылка на нормативный правовой акт</w:t>
            </w:r>
          </w:p>
        </w:tc>
      </w:tr>
      <w:tr w:rsidR="007D6890" w14:paraId="1506BC0F" w14:textId="77777777" w:rsidTr="00D633DA">
        <w:trPr>
          <w:jc w:val="center"/>
        </w:trPr>
        <w:tc>
          <w:tcPr>
            <w:tcW w:w="562" w:type="dxa"/>
          </w:tcPr>
          <w:p w14:paraId="1845735A" w14:textId="31BFC90D" w:rsidR="007D6890" w:rsidRPr="00D633DA" w:rsidRDefault="007D6890">
            <w:pPr>
              <w:pStyle w:val="a5"/>
              <w:rPr>
                <w:b w:val="0"/>
                <w:sz w:val="22"/>
                <w:szCs w:val="22"/>
                <w:u w:val="none"/>
              </w:rPr>
            </w:pPr>
            <w:r w:rsidRPr="00D633DA">
              <w:rPr>
                <w:b w:val="0"/>
                <w:sz w:val="22"/>
                <w:szCs w:val="22"/>
                <w:u w:val="none"/>
              </w:rPr>
              <w:t>1</w:t>
            </w:r>
          </w:p>
        </w:tc>
        <w:tc>
          <w:tcPr>
            <w:tcW w:w="2694" w:type="dxa"/>
          </w:tcPr>
          <w:p w14:paraId="3B66F752" w14:textId="65A4E4C2" w:rsidR="007D6890" w:rsidRPr="00D633DA" w:rsidRDefault="007D6890">
            <w:pPr>
              <w:pStyle w:val="a5"/>
              <w:rPr>
                <w:b w:val="0"/>
                <w:sz w:val="22"/>
                <w:szCs w:val="22"/>
                <w:u w:val="none"/>
              </w:rPr>
            </w:pPr>
            <w:r w:rsidRPr="00D633DA">
              <w:rPr>
                <w:b w:val="0"/>
                <w:sz w:val="22"/>
                <w:szCs w:val="22"/>
                <w:u w:val="none"/>
              </w:rPr>
              <w:t>Получение запроса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w:t>
            </w:r>
          </w:p>
        </w:tc>
        <w:tc>
          <w:tcPr>
            <w:tcW w:w="4252" w:type="dxa"/>
          </w:tcPr>
          <w:p w14:paraId="0D4EF655" w14:textId="77777777" w:rsidR="007D6890" w:rsidRPr="00D633DA" w:rsidRDefault="007D6890" w:rsidP="007D6890">
            <w:pPr>
              <w:pStyle w:val="a5"/>
              <w:rPr>
                <w:b w:val="0"/>
                <w:sz w:val="22"/>
                <w:szCs w:val="22"/>
                <w:u w:val="none"/>
              </w:rPr>
            </w:pPr>
            <w:r w:rsidRPr="00D633DA">
              <w:rPr>
                <w:b w:val="0"/>
                <w:sz w:val="22"/>
                <w:szCs w:val="22"/>
                <w:u w:val="none"/>
              </w:rPr>
              <w:t>В запросе должны быть указаны:</w:t>
            </w:r>
          </w:p>
          <w:p w14:paraId="0438F7DA" w14:textId="53C5AE65" w:rsidR="007D6890" w:rsidRPr="00D633DA" w:rsidRDefault="007D6890" w:rsidP="007D6890">
            <w:pPr>
              <w:pStyle w:val="a5"/>
              <w:rPr>
                <w:b w:val="0"/>
                <w:sz w:val="22"/>
                <w:szCs w:val="22"/>
                <w:u w:val="none"/>
              </w:rPr>
            </w:pPr>
            <w:r w:rsidRPr="00D633DA">
              <w:rPr>
                <w:b w:val="0"/>
                <w:sz w:val="22"/>
                <w:szCs w:val="22"/>
                <w:u w:val="none"/>
              </w:rPr>
              <w:t>- реквизиты и контактные данные лица,</w:t>
            </w:r>
            <w:r w:rsidR="00D633DA" w:rsidRPr="00D633DA">
              <w:rPr>
                <w:b w:val="0"/>
                <w:sz w:val="22"/>
                <w:szCs w:val="22"/>
                <w:u w:val="none"/>
              </w:rPr>
              <w:t xml:space="preserve"> </w:t>
            </w:r>
            <w:r w:rsidRPr="00D633DA">
              <w:rPr>
                <w:b w:val="0"/>
                <w:sz w:val="22"/>
                <w:szCs w:val="22"/>
                <w:u w:val="none"/>
              </w:rPr>
              <w:t>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14:paraId="606B18FB" w14:textId="0751FC63" w:rsidR="007D6890" w:rsidRPr="00D633DA" w:rsidRDefault="007D6890" w:rsidP="007D6890">
            <w:pPr>
              <w:pStyle w:val="a5"/>
              <w:rPr>
                <w:b w:val="0"/>
                <w:sz w:val="22"/>
                <w:szCs w:val="22"/>
                <w:u w:val="none"/>
              </w:rPr>
            </w:pPr>
            <w:r w:rsidRPr="00D633DA">
              <w:rPr>
                <w:b w:val="0"/>
                <w:sz w:val="22"/>
                <w:szCs w:val="22"/>
                <w:u w:val="none"/>
              </w:rPr>
              <w:t>- место</w:t>
            </w:r>
            <w:r w:rsidR="00D633DA" w:rsidRPr="00D633DA">
              <w:rPr>
                <w:b w:val="0"/>
                <w:sz w:val="22"/>
                <w:szCs w:val="22"/>
                <w:u w:val="none"/>
              </w:rPr>
              <w:t xml:space="preserve"> </w:t>
            </w:r>
            <w:r w:rsidRPr="00D633DA">
              <w:rPr>
                <w:b w:val="0"/>
                <w:sz w:val="22"/>
                <w:szCs w:val="22"/>
                <w:u w:val="none"/>
              </w:rPr>
              <w:t>нахождения</w:t>
            </w:r>
            <w:r w:rsidR="00D633DA" w:rsidRPr="00D633DA">
              <w:rPr>
                <w:b w:val="0"/>
                <w:sz w:val="22"/>
                <w:szCs w:val="22"/>
                <w:u w:val="none"/>
              </w:rPr>
              <w:t xml:space="preserve"> </w:t>
            </w:r>
            <w:r w:rsidRPr="00D633DA">
              <w:rPr>
                <w:b w:val="0"/>
                <w:sz w:val="22"/>
                <w:szCs w:val="22"/>
                <w:u w:val="none"/>
              </w:rPr>
              <w:t>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14:paraId="0719B5B0" w14:textId="79D82054" w:rsidR="007D6890" w:rsidRPr="00D633DA" w:rsidRDefault="007D6890" w:rsidP="007D6890">
            <w:pPr>
              <w:pStyle w:val="a5"/>
              <w:rPr>
                <w:b w:val="0"/>
                <w:sz w:val="22"/>
                <w:szCs w:val="22"/>
                <w:u w:val="none"/>
              </w:rPr>
            </w:pPr>
            <w:r w:rsidRPr="00D633DA">
              <w:rPr>
                <w:b w:val="0"/>
                <w:sz w:val="22"/>
                <w:szCs w:val="22"/>
                <w:u w:val="none"/>
              </w:rPr>
              <w:t xml:space="preserve">- номер договора энергоснабжения (купли-продажи (поставки) электрической </w:t>
            </w:r>
            <w:r w:rsidRPr="00D633DA">
              <w:rPr>
                <w:b w:val="0"/>
                <w:sz w:val="22"/>
                <w:szCs w:val="22"/>
                <w:u w:val="none"/>
              </w:rPr>
              <w:lastRenderedPageBreak/>
              <w:t>энергии (мощности), оказания услуг по передаче электрической энергии;</w:t>
            </w:r>
          </w:p>
          <w:p w14:paraId="005BCEA6" w14:textId="0F5EBBA8" w:rsidR="007D6890" w:rsidRPr="00D633DA" w:rsidRDefault="007D6890" w:rsidP="007D6890">
            <w:pPr>
              <w:pStyle w:val="a5"/>
              <w:rPr>
                <w:b w:val="0"/>
                <w:sz w:val="22"/>
                <w:szCs w:val="22"/>
                <w:u w:val="none"/>
              </w:rPr>
            </w:pPr>
            <w:r w:rsidRPr="00D633DA">
              <w:rPr>
                <w:b w:val="0"/>
                <w:sz w:val="22"/>
                <w:szCs w:val="22"/>
                <w:u w:val="none"/>
              </w:rPr>
              <w:t>- предлагаемые места установки прибора</w:t>
            </w:r>
          </w:p>
          <w:p w14:paraId="4B63E8B3" w14:textId="77777777" w:rsidR="007D6890" w:rsidRPr="00D633DA" w:rsidRDefault="007D6890" w:rsidP="007D6890">
            <w:pPr>
              <w:pStyle w:val="a7"/>
              <w:jc w:val="both"/>
              <w:rPr>
                <w:sz w:val="22"/>
                <w:szCs w:val="22"/>
              </w:rPr>
            </w:pPr>
            <w:r w:rsidRPr="00D633DA">
              <w:rPr>
                <w:sz w:val="22"/>
                <w:szCs w:val="22"/>
              </w:rPr>
              <w:t>учета, в случае если они отличаются от ранее</w:t>
            </w:r>
            <w:r w:rsidRPr="00D633DA">
              <w:rPr>
                <w:b/>
                <w:sz w:val="22"/>
                <w:szCs w:val="22"/>
              </w:rPr>
              <w:t xml:space="preserve"> </w:t>
            </w:r>
            <w:r w:rsidRPr="00D633DA">
              <w:rPr>
                <w:sz w:val="22"/>
                <w:szCs w:val="22"/>
              </w:rPr>
              <w:t>согласованных мест установки, с обоснованием причины изменения места установки;</w:t>
            </w:r>
          </w:p>
          <w:p w14:paraId="69CCE3D1" w14:textId="2534F46F" w:rsidR="007D6890" w:rsidRPr="00D633DA" w:rsidRDefault="007D6890" w:rsidP="00D633DA">
            <w:pPr>
              <w:pStyle w:val="a7"/>
              <w:tabs>
                <w:tab w:val="left" w:pos="1694"/>
                <w:tab w:val="left" w:pos="2856"/>
              </w:tabs>
              <w:jc w:val="both"/>
              <w:rPr>
                <w:sz w:val="22"/>
                <w:szCs w:val="22"/>
              </w:rPr>
            </w:pPr>
            <w:r w:rsidRPr="00D633DA">
              <w:rPr>
                <w:sz w:val="22"/>
                <w:szCs w:val="22"/>
              </w:rPr>
              <w:t>- информация о приборе учета и (или) об ином оборудовании, которые предполагается</w:t>
            </w:r>
            <w:r w:rsidR="00D633DA" w:rsidRPr="00D633DA">
              <w:rPr>
                <w:sz w:val="22"/>
                <w:szCs w:val="22"/>
              </w:rPr>
              <w:t xml:space="preserve"> </w:t>
            </w:r>
            <w:r w:rsidRPr="00D633DA">
              <w:rPr>
                <w:sz w:val="22"/>
                <w:szCs w:val="22"/>
              </w:rPr>
              <w:t>установить и заменить;</w:t>
            </w:r>
          </w:p>
          <w:p w14:paraId="782AE465" w14:textId="211B7EB3" w:rsidR="007D6890" w:rsidRPr="00D633DA" w:rsidRDefault="007D6890" w:rsidP="00D633DA">
            <w:pPr>
              <w:pStyle w:val="a7"/>
              <w:tabs>
                <w:tab w:val="left" w:pos="1070"/>
                <w:tab w:val="left" w:pos="1555"/>
                <w:tab w:val="left" w:pos="2702"/>
                <w:tab w:val="left" w:pos="3091"/>
                <w:tab w:val="left" w:pos="4080"/>
              </w:tabs>
              <w:jc w:val="both"/>
              <w:rPr>
                <w:sz w:val="22"/>
                <w:szCs w:val="22"/>
              </w:rPr>
            </w:pPr>
            <w:r w:rsidRPr="00D633DA">
              <w:rPr>
                <w:sz w:val="22"/>
                <w:szCs w:val="22"/>
              </w:rPr>
              <w:t>предполагаемые дата и время совершения действий по установке и допуску в</w:t>
            </w:r>
            <w:r w:rsidR="00D633DA" w:rsidRPr="00D633DA">
              <w:rPr>
                <w:sz w:val="22"/>
                <w:szCs w:val="22"/>
              </w:rPr>
              <w:t xml:space="preserve"> </w:t>
            </w:r>
            <w:r w:rsidRPr="00D633DA">
              <w:rPr>
                <w:sz w:val="22"/>
                <w:szCs w:val="22"/>
              </w:rPr>
              <w:t>эксплуатацию приборов учета (при</w:t>
            </w:r>
            <w:r w:rsidR="00D633DA" w:rsidRPr="00D633DA">
              <w:rPr>
                <w:sz w:val="22"/>
                <w:szCs w:val="22"/>
              </w:rPr>
              <w:t xml:space="preserve"> </w:t>
            </w:r>
            <w:r w:rsidRPr="00D633DA">
              <w:rPr>
                <w:sz w:val="22"/>
                <w:szCs w:val="22"/>
              </w:rPr>
              <w:t>необходимости допуска в эксплуатацию).</w:t>
            </w:r>
          </w:p>
        </w:tc>
        <w:tc>
          <w:tcPr>
            <w:tcW w:w="1843" w:type="dxa"/>
          </w:tcPr>
          <w:p w14:paraId="2088EE34" w14:textId="3864AE62" w:rsidR="007D6890" w:rsidRPr="00D633DA" w:rsidRDefault="007D6890">
            <w:pPr>
              <w:pStyle w:val="a5"/>
              <w:rPr>
                <w:b w:val="0"/>
                <w:sz w:val="22"/>
                <w:szCs w:val="22"/>
                <w:u w:val="none"/>
              </w:rPr>
            </w:pPr>
            <w:r w:rsidRPr="00D633DA">
              <w:rPr>
                <w:b w:val="0"/>
                <w:sz w:val="22"/>
                <w:szCs w:val="22"/>
                <w:u w:val="none"/>
              </w:rPr>
              <w:lastRenderedPageBreak/>
              <w:t>Письменный запрос</w:t>
            </w:r>
          </w:p>
        </w:tc>
        <w:tc>
          <w:tcPr>
            <w:tcW w:w="2131" w:type="dxa"/>
          </w:tcPr>
          <w:p w14:paraId="40270FF1" w14:textId="084A2203" w:rsidR="007D6890" w:rsidRPr="00D633DA" w:rsidRDefault="007D6890">
            <w:pPr>
              <w:pStyle w:val="a5"/>
              <w:rPr>
                <w:b w:val="0"/>
                <w:sz w:val="22"/>
                <w:szCs w:val="22"/>
                <w:u w:val="none"/>
              </w:rPr>
            </w:pPr>
            <w:r w:rsidRPr="00D633DA">
              <w:rPr>
                <w:b w:val="0"/>
                <w:sz w:val="22"/>
                <w:szCs w:val="22"/>
                <w:u w:val="none"/>
              </w:rPr>
              <w:t>Регистрация запроса</w:t>
            </w:r>
          </w:p>
        </w:tc>
        <w:tc>
          <w:tcPr>
            <w:tcW w:w="1392" w:type="dxa"/>
          </w:tcPr>
          <w:p w14:paraId="359B5C3B" w14:textId="686A4A97" w:rsidR="007D6890" w:rsidRPr="00D633DA" w:rsidRDefault="007D6890">
            <w:pPr>
              <w:pStyle w:val="a5"/>
              <w:rPr>
                <w:b w:val="0"/>
                <w:sz w:val="22"/>
                <w:szCs w:val="22"/>
                <w:u w:val="none"/>
              </w:rPr>
            </w:pPr>
            <w:r w:rsidRPr="00D633DA">
              <w:rPr>
                <w:b w:val="0"/>
                <w:sz w:val="22"/>
                <w:szCs w:val="22"/>
                <w:u w:val="none"/>
              </w:rPr>
              <w:t>В течение 1 рабочего дня</w:t>
            </w:r>
          </w:p>
        </w:tc>
        <w:tc>
          <w:tcPr>
            <w:tcW w:w="2065" w:type="dxa"/>
          </w:tcPr>
          <w:p w14:paraId="5E077220" w14:textId="1F9E8C9A" w:rsidR="007D6890" w:rsidRPr="00D633DA" w:rsidRDefault="007D6890" w:rsidP="007D6890">
            <w:pPr>
              <w:pStyle w:val="a7"/>
              <w:tabs>
                <w:tab w:val="left" w:pos="1603"/>
              </w:tabs>
              <w:rPr>
                <w:sz w:val="22"/>
                <w:szCs w:val="22"/>
              </w:rPr>
            </w:pPr>
            <w:r w:rsidRPr="00D633DA">
              <w:rPr>
                <w:sz w:val="22"/>
                <w:szCs w:val="22"/>
              </w:rPr>
              <w:t>Пункт 152</w:t>
            </w:r>
          </w:p>
          <w:p w14:paraId="5EB22604" w14:textId="1EC87204" w:rsidR="007D6890" w:rsidRPr="00D633DA" w:rsidRDefault="007D6890" w:rsidP="007D6890">
            <w:pPr>
              <w:pStyle w:val="a7"/>
              <w:tabs>
                <w:tab w:val="left" w:pos="1248"/>
              </w:tabs>
              <w:rPr>
                <w:sz w:val="22"/>
                <w:szCs w:val="22"/>
              </w:rPr>
            </w:pPr>
            <w:r w:rsidRPr="00D633DA">
              <w:rPr>
                <w:sz w:val="22"/>
                <w:szCs w:val="22"/>
              </w:rPr>
              <w:t>«Основных положений функционирования розничных рынков</w:t>
            </w:r>
          </w:p>
          <w:p w14:paraId="242E0872" w14:textId="736952F9" w:rsidR="007D6890" w:rsidRPr="00D633DA" w:rsidRDefault="007D6890" w:rsidP="007D6890">
            <w:pPr>
              <w:pStyle w:val="a5"/>
              <w:rPr>
                <w:b w:val="0"/>
                <w:sz w:val="22"/>
                <w:szCs w:val="22"/>
                <w:u w:val="none"/>
              </w:rPr>
            </w:pPr>
            <w:r w:rsidRPr="00D633DA">
              <w:rPr>
                <w:b w:val="0"/>
                <w:sz w:val="22"/>
                <w:szCs w:val="22"/>
                <w:u w:val="none"/>
              </w:rPr>
              <w:t>электрической энергии», утвержденных Постановлением Правительства РФ от 04.05.2012 № 442.</w:t>
            </w:r>
          </w:p>
        </w:tc>
      </w:tr>
      <w:tr w:rsidR="007D6890" w14:paraId="15D62F29" w14:textId="77777777" w:rsidTr="00D633DA">
        <w:trPr>
          <w:jc w:val="center"/>
        </w:trPr>
        <w:tc>
          <w:tcPr>
            <w:tcW w:w="562" w:type="dxa"/>
          </w:tcPr>
          <w:p w14:paraId="3E69393B" w14:textId="16CAAB4F" w:rsidR="007D6890" w:rsidRPr="00D633DA" w:rsidRDefault="007D6890">
            <w:pPr>
              <w:pStyle w:val="a5"/>
              <w:rPr>
                <w:b w:val="0"/>
                <w:sz w:val="22"/>
                <w:szCs w:val="22"/>
                <w:u w:val="none"/>
              </w:rPr>
            </w:pPr>
            <w:r w:rsidRPr="00D633DA">
              <w:rPr>
                <w:b w:val="0"/>
                <w:sz w:val="22"/>
                <w:szCs w:val="22"/>
                <w:u w:val="none"/>
              </w:rPr>
              <w:t>2</w:t>
            </w:r>
          </w:p>
        </w:tc>
        <w:tc>
          <w:tcPr>
            <w:tcW w:w="2694" w:type="dxa"/>
          </w:tcPr>
          <w:p w14:paraId="65C56599" w14:textId="6234987C" w:rsidR="007D6890" w:rsidRPr="00D633DA" w:rsidRDefault="007D6890">
            <w:pPr>
              <w:pStyle w:val="a5"/>
              <w:rPr>
                <w:b w:val="0"/>
                <w:sz w:val="22"/>
                <w:szCs w:val="22"/>
                <w:u w:val="none"/>
              </w:rPr>
            </w:pPr>
            <w:r w:rsidRPr="00D633DA">
              <w:rPr>
                <w:b w:val="0"/>
                <w:sz w:val="22"/>
                <w:szCs w:val="22"/>
                <w:u w:val="none"/>
              </w:rPr>
              <w:t>Рассмотрение сетевой организацией запроса по п.1.</w:t>
            </w:r>
          </w:p>
        </w:tc>
        <w:tc>
          <w:tcPr>
            <w:tcW w:w="4252" w:type="dxa"/>
          </w:tcPr>
          <w:p w14:paraId="60D77E44" w14:textId="61C0464F" w:rsidR="007D6890" w:rsidRPr="00D633DA" w:rsidRDefault="007D6890" w:rsidP="00D633DA">
            <w:pPr>
              <w:pStyle w:val="a7"/>
              <w:tabs>
                <w:tab w:val="left" w:pos="1440"/>
                <w:tab w:val="right" w:pos="4162"/>
              </w:tabs>
              <w:jc w:val="both"/>
              <w:rPr>
                <w:sz w:val="22"/>
                <w:szCs w:val="22"/>
              </w:rPr>
            </w:pPr>
            <w:r w:rsidRPr="00D633DA">
              <w:rPr>
                <w:sz w:val="22"/>
                <w:szCs w:val="22"/>
              </w:rPr>
              <w:t>-Проверка</w:t>
            </w:r>
            <w:r w:rsidR="00D633DA" w:rsidRPr="00D633DA">
              <w:rPr>
                <w:sz w:val="22"/>
                <w:szCs w:val="22"/>
              </w:rPr>
              <w:t xml:space="preserve"> </w:t>
            </w:r>
            <w:r w:rsidRPr="00D633DA">
              <w:rPr>
                <w:sz w:val="22"/>
                <w:szCs w:val="22"/>
              </w:rPr>
              <w:t>представленной</w:t>
            </w:r>
            <w:r w:rsidR="00D633DA" w:rsidRPr="00D633DA">
              <w:rPr>
                <w:sz w:val="22"/>
                <w:szCs w:val="22"/>
              </w:rPr>
              <w:t xml:space="preserve"> </w:t>
            </w:r>
            <w:r w:rsidRPr="00D633DA">
              <w:rPr>
                <w:sz w:val="22"/>
                <w:szCs w:val="22"/>
              </w:rPr>
              <w:t>заявителем</w:t>
            </w:r>
            <w:r w:rsidR="00D633DA" w:rsidRPr="00D633DA">
              <w:rPr>
                <w:sz w:val="22"/>
                <w:szCs w:val="22"/>
              </w:rPr>
              <w:t xml:space="preserve"> </w:t>
            </w:r>
            <w:r w:rsidRPr="00D633DA">
              <w:rPr>
                <w:sz w:val="22"/>
                <w:szCs w:val="22"/>
              </w:rPr>
              <w:t>документации в отношении мест установки приборов учета, схем подключения приборов учета и иных компонентов измерительных комплексов и систем учета.</w:t>
            </w:r>
          </w:p>
        </w:tc>
        <w:tc>
          <w:tcPr>
            <w:tcW w:w="1843" w:type="dxa"/>
          </w:tcPr>
          <w:p w14:paraId="4613CED2" w14:textId="0F8EDA0C" w:rsidR="007D6890" w:rsidRPr="00D633DA" w:rsidRDefault="007D6890" w:rsidP="00D633DA">
            <w:pPr>
              <w:pStyle w:val="a7"/>
              <w:tabs>
                <w:tab w:val="left" w:pos="1387"/>
              </w:tabs>
              <w:rPr>
                <w:sz w:val="22"/>
                <w:szCs w:val="22"/>
              </w:rPr>
            </w:pPr>
            <w:r w:rsidRPr="00D633DA">
              <w:rPr>
                <w:sz w:val="22"/>
                <w:szCs w:val="22"/>
              </w:rPr>
              <w:t>Подготовка ответа</w:t>
            </w:r>
            <w:r w:rsidR="00D633DA" w:rsidRPr="00D633DA">
              <w:rPr>
                <w:sz w:val="22"/>
                <w:szCs w:val="22"/>
              </w:rPr>
              <w:t xml:space="preserve"> </w:t>
            </w:r>
            <w:r w:rsidRPr="00D633DA">
              <w:rPr>
                <w:sz w:val="22"/>
                <w:szCs w:val="22"/>
              </w:rPr>
              <w:t>в</w:t>
            </w:r>
            <w:r w:rsidR="00D633DA" w:rsidRPr="00D633DA">
              <w:rPr>
                <w:sz w:val="22"/>
                <w:szCs w:val="22"/>
              </w:rPr>
              <w:t xml:space="preserve"> </w:t>
            </w:r>
            <w:r w:rsidRPr="00D633DA">
              <w:rPr>
                <w:sz w:val="22"/>
                <w:szCs w:val="22"/>
              </w:rPr>
              <w:t>письменном виде</w:t>
            </w:r>
          </w:p>
        </w:tc>
        <w:tc>
          <w:tcPr>
            <w:tcW w:w="2131" w:type="dxa"/>
          </w:tcPr>
          <w:p w14:paraId="00F21926" w14:textId="3F0F1A88" w:rsidR="007D6890" w:rsidRPr="00D633DA" w:rsidRDefault="007D6890" w:rsidP="00D633DA">
            <w:pPr>
              <w:pStyle w:val="a7"/>
              <w:tabs>
                <w:tab w:val="left" w:pos="1517"/>
                <w:tab w:val="right" w:pos="2501"/>
              </w:tabs>
              <w:rPr>
                <w:sz w:val="22"/>
                <w:szCs w:val="22"/>
              </w:rPr>
            </w:pPr>
            <w:r w:rsidRPr="00D633DA">
              <w:rPr>
                <w:sz w:val="22"/>
                <w:szCs w:val="22"/>
              </w:rPr>
              <w:t>Письменный</w:t>
            </w:r>
            <w:r w:rsidR="00D633DA" w:rsidRPr="00D633DA">
              <w:rPr>
                <w:sz w:val="22"/>
                <w:szCs w:val="22"/>
              </w:rPr>
              <w:t xml:space="preserve"> </w:t>
            </w:r>
            <w:r w:rsidRPr="00D633DA">
              <w:rPr>
                <w:sz w:val="22"/>
                <w:szCs w:val="22"/>
              </w:rPr>
              <w:t>ответ</w:t>
            </w:r>
            <w:r w:rsidR="00D633DA" w:rsidRPr="00D633DA">
              <w:rPr>
                <w:sz w:val="22"/>
                <w:szCs w:val="22"/>
              </w:rPr>
              <w:t xml:space="preserve"> </w:t>
            </w:r>
            <w:r w:rsidRPr="00D633DA">
              <w:rPr>
                <w:sz w:val="22"/>
                <w:szCs w:val="22"/>
              </w:rPr>
              <w:t>о</w:t>
            </w:r>
            <w:r w:rsidR="00D633DA" w:rsidRPr="00D633DA">
              <w:rPr>
                <w:sz w:val="22"/>
                <w:szCs w:val="22"/>
              </w:rPr>
              <w:t xml:space="preserve"> </w:t>
            </w:r>
            <w:r w:rsidRPr="00D633DA">
              <w:rPr>
                <w:sz w:val="22"/>
                <w:szCs w:val="22"/>
              </w:rPr>
              <w:t>согласовании или об отказе в</w:t>
            </w:r>
            <w:r w:rsidR="00D633DA" w:rsidRPr="00D633DA">
              <w:rPr>
                <w:sz w:val="22"/>
                <w:szCs w:val="22"/>
              </w:rPr>
              <w:t xml:space="preserve"> </w:t>
            </w:r>
            <w:r w:rsidRPr="00D633DA">
              <w:rPr>
                <w:sz w:val="22"/>
                <w:szCs w:val="22"/>
              </w:rPr>
              <w:t>согласовании</w:t>
            </w:r>
            <w:r w:rsidR="00D633DA" w:rsidRPr="00D633DA">
              <w:rPr>
                <w:sz w:val="22"/>
                <w:szCs w:val="22"/>
              </w:rPr>
              <w:t xml:space="preserve"> </w:t>
            </w:r>
            <w:r w:rsidRPr="00D633DA">
              <w:rPr>
                <w:sz w:val="22"/>
                <w:szCs w:val="22"/>
              </w:rPr>
              <w:t>мест</w:t>
            </w:r>
            <w:r w:rsidR="00D633DA" w:rsidRPr="00D633DA">
              <w:rPr>
                <w:sz w:val="22"/>
                <w:szCs w:val="22"/>
              </w:rPr>
              <w:t xml:space="preserve"> </w:t>
            </w:r>
            <w:r w:rsidRPr="00D633DA">
              <w:rPr>
                <w:sz w:val="22"/>
                <w:szCs w:val="22"/>
              </w:rPr>
              <w:t>установки,</w:t>
            </w:r>
            <w:r w:rsidR="00D633DA" w:rsidRPr="00D633DA">
              <w:rPr>
                <w:sz w:val="22"/>
                <w:szCs w:val="22"/>
              </w:rPr>
              <w:t xml:space="preserve"> </w:t>
            </w:r>
            <w:r w:rsidRPr="00D633DA">
              <w:rPr>
                <w:sz w:val="22"/>
                <w:szCs w:val="22"/>
              </w:rPr>
              <w:t>схем</w:t>
            </w:r>
            <w:r w:rsidR="00D633DA" w:rsidRPr="00D633DA">
              <w:rPr>
                <w:sz w:val="22"/>
                <w:szCs w:val="22"/>
              </w:rPr>
              <w:t xml:space="preserve"> </w:t>
            </w:r>
            <w:r w:rsidRPr="00D633DA">
              <w:rPr>
                <w:sz w:val="22"/>
                <w:szCs w:val="22"/>
              </w:rPr>
              <w:t>подключения с указанием предложений</w:t>
            </w:r>
            <w:r w:rsidR="00D633DA" w:rsidRPr="00D633DA">
              <w:rPr>
                <w:sz w:val="22"/>
                <w:szCs w:val="22"/>
              </w:rPr>
              <w:t xml:space="preserve"> </w:t>
            </w:r>
            <w:r w:rsidRPr="00D633DA">
              <w:rPr>
                <w:sz w:val="22"/>
                <w:szCs w:val="22"/>
              </w:rPr>
              <w:t>о</w:t>
            </w:r>
            <w:r w:rsidR="00D633DA" w:rsidRPr="00D633DA">
              <w:rPr>
                <w:sz w:val="22"/>
                <w:szCs w:val="22"/>
              </w:rPr>
              <w:t xml:space="preserve"> </w:t>
            </w:r>
            <w:r w:rsidRPr="00D633DA">
              <w:rPr>
                <w:sz w:val="22"/>
                <w:szCs w:val="22"/>
              </w:rPr>
              <w:t>местах</w:t>
            </w:r>
            <w:r w:rsidR="00D633DA" w:rsidRPr="00D633DA">
              <w:rPr>
                <w:sz w:val="22"/>
                <w:szCs w:val="22"/>
              </w:rPr>
              <w:t xml:space="preserve"> </w:t>
            </w:r>
            <w:r w:rsidRPr="00D633DA">
              <w:rPr>
                <w:sz w:val="22"/>
                <w:szCs w:val="22"/>
              </w:rPr>
              <w:t>установки приборов учета, схемах</w:t>
            </w:r>
            <w:r w:rsidR="00D633DA" w:rsidRPr="00D633DA">
              <w:rPr>
                <w:sz w:val="22"/>
                <w:szCs w:val="22"/>
              </w:rPr>
              <w:t xml:space="preserve"> </w:t>
            </w:r>
            <w:r w:rsidRPr="00D633DA">
              <w:rPr>
                <w:sz w:val="22"/>
                <w:szCs w:val="22"/>
              </w:rPr>
              <w:t>подключения</w:t>
            </w:r>
            <w:r w:rsidR="00D633DA" w:rsidRPr="00D633DA">
              <w:rPr>
                <w:sz w:val="22"/>
                <w:szCs w:val="22"/>
              </w:rPr>
              <w:t xml:space="preserve"> </w:t>
            </w:r>
            <w:r w:rsidRPr="00D633DA">
              <w:rPr>
                <w:sz w:val="22"/>
                <w:szCs w:val="22"/>
              </w:rPr>
              <w:t>приборов учета и иных компонентов измерительных комплексов и систем учета, при соблюдении которых установка будет возможна.</w:t>
            </w:r>
          </w:p>
        </w:tc>
        <w:tc>
          <w:tcPr>
            <w:tcW w:w="1392" w:type="dxa"/>
          </w:tcPr>
          <w:p w14:paraId="62BB6586" w14:textId="47C86B80" w:rsidR="007D6890" w:rsidRPr="00D633DA" w:rsidRDefault="007D6890" w:rsidP="00D633DA">
            <w:pPr>
              <w:pStyle w:val="a7"/>
              <w:tabs>
                <w:tab w:val="left" w:pos="960"/>
              </w:tabs>
              <w:rPr>
                <w:sz w:val="22"/>
                <w:szCs w:val="22"/>
              </w:rPr>
            </w:pPr>
            <w:r w:rsidRPr="00D633DA">
              <w:rPr>
                <w:sz w:val="22"/>
                <w:szCs w:val="22"/>
              </w:rPr>
              <w:t>В течение 10 рабочих дней со дня получения запроса</w:t>
            </w:r>
            <w:r w:rsidR="00D633DA" w:rsidRPr="00D633DA">
              <w:rPr>
                <w:sz w:val="22"/>
                <w:szCs w:val="22"/>
              </w:rPr>
              <w:t xml:space="preserve"> </w:t>
            </w:r>
            <w:r w:rsidRPr="00D633DA">
              <w:rPr>
                <w:sz w:val="22"/>
                <w:szCs w:val="22"/>
              </w:rPr>
              <w:t>от</w:t>
            </w:r>
            <w:r w:rsidR="00D633DA" w:rsidRPr="00D633DA">
              <w:rPr>
                <w:sz w:val="22"/>
                <w:szCs w:val="22"/>
              </w:rPr>
              <w:t xml:space="preserve"> </w:t>
            </w:r>
            <w:r w:rsidRPr="00D633DA">
              <w:rPr>
                <w:sz w:val="22"/>
                <w:szCs w:val="22"/>
              </w:rPr>
              <w:t>заявителя.</w:t>
            </w:r>
          </w:p>
        </w:tc>
        <w:tc>
          <w:tcPr>
            <w:tcW w:w="2065" w:type="dxa"/>
          </w:tcPr>
          <w:p w14:paraId="368E035E" w14:textId="604D5A82" w:rsidR="007D6890" w:rsidRPr="00D633DA" w:rsidRDefault="007D6890" w:rsidP="00D633DA">
            <w:pPr>
              <w:pStyle w:val="a7"/>
              <w:tabs>
                <w:tab w:val="left" w:pos="1603"/>
              </w:tabs>
              <w:rPr>
                <w:sz w:val="22"/>
                <w:szCs w:val="22"/>
              </w:rPr>
            </w:pPr>
            <w:r w:rsidRPr="00D633DA">
              <w:rPr>
                <w:sz w:val="22"/>
                <w:szCs w:val="22"/>
              </w:rPr>
              <w:t>Пункт</w:t>
            </w:r>
            <w:r w:rsidR="00D633DA" w:rsidRPr="00D633DA">
              <w:rPr>
                <w:sz w:val="22"/>
                <w:szCs w:val="22"/>
              </w:rPr>
              <w:t xml:space="preserve"> </w:t>
            </w:r>
            <w:r w:rsidRPr="00D633DA">
              <w:rPr>
                <w:sz w:val="22"/>
                <w:szCs w:val="22"/>
              </w:rPr>
              <w:t>152</w:t>
            </w:r>
          </w:p>
          <w:p w14:paraId="0123F78E" w14:textId="726E1D3C" w:rsidR="007D6890" w:rsidRPr="00D633DA" w:rsidRDefault="007D6890" w:rsidP="00D633DA">
            <w:pPr>
              <w:pStyle w:val="a7"/>
              <w:tabs>
                <w:tab w:val="left" w:pos="1248"/>
              </w:tabs>
              <w:rPr>
                <w:sz w:val="22"/>
                <w:szCs w:val="22"/>
              </w:rPr>
            </w:pPr>
            <w:r w:rsidRPr="00D633DA">
              <w:rPr>
                <w:sz w:val="22"/>
                <w:szCs w:val="22"/>
              </w:rPr>
              <w:t>«Основных положений</w:t>
            </w:r>
            <w:r w:rsidR="00D633DA" w:rsidRPr="00D633DA">
              <w:rPr>
                <w:sz w:val="22"/>
                <w:szCs w:val="22"/>
              </w:rPr>
              <w:t xml:space="preserve"> </w:t>
            </w:r>
            <w:r w:rsidRPr="00D633DA">
              <w:rPr>
                <w:sz w:val="22"/>
                <w:szCs w:val="22"/>
              </w:rPr>
              <w:t>функционирования розничных</w:t>
            </w:r>
            <w:r w:rsidR="00D633DA" w:rsidRPr="00D633DA">
              <w:rPr>
                <w:sz w:val="22"/>
                <w:szCs w:val="22"/>
              </w:rPr>
              <w:t xml:space="preserve"> </w:t>
            </w:r>
            <w:r w:rsidRPr="00D633DA">
              <w:rPr>
                <w:sz w:val="22"/>
                <w:szCs w:val="22"/>
              </w:rPr>
              <w:t>рынков</w:t>
            </w:r>
          </w:p>
          <w:p w14:paraId="4A32B1A7" w14:textId="79EFBB86" w:rsidR="007D6890" w:rsidRPr="00D633DA" w:rsidRDefault="007D6890" w:rsidP="00D633DA">
            <w:pPr>
              <w:pStyle w:val="a5"/>
              <w:rPr>
                <w:b w:val="0"/>
                <w:sz w:val="22"/>
                <w:szCs w:val="22"/>
                <w:u w:val="none"/>
              </w:rPr>
            </w:pPr>
            <w:r w:rsidRPr="00D633DA">
              <w:rPr>
                <w:b w:val="0"/>
                <w:sz w:val="22"/>
                <w:szCs w:val="22"/>
                <w:u w:val="none"/>
              </w:rPr>
              <w:t>электрической энергии»,</w:t>
            </w:r>
            <w:r w:rsidR="00D633DA" w:rsidRPr="00D633DA">
              <w:rPr>
                <w:b w:val="0"/>
                <w:sz w:val="22"/>
                <w:szCs w:val="22"/>
                <w:u w:val="none"/>
              </w:rPr>
              <w:t xml:space="preserve"> </w:t>
            </w:r>
            <w:r w:rsidRPr="00D633DA">
              <w:rPr>
                <w:b w:val="0"/>
                <w:sz w:val="22"/>
                <w:szCs w:val="22"/>
                <w:u w:val="none"/>
              </w:rPr>
              <w:t>утвержденных Постановлением Правительства РФ от 04.05.2012 № 442</w:t>
            </w:r>
            <w:r w:rsidRPr="00D633DA">
              <w:rPr>
                <w:sz w:val="22"/>
                <w:szCs w:val="22"/>
              </w:rPr>
              <w:t>.</w:t>
            </w:r>
          </w:p>
        </w:tc>
      </w:tr>
    </w:tbl>
    <w:p w14:paraId="5972F1D8" w14:textId="04EDB494" w:rsidR="00F9295D" w:rsidRDefault="00F9295D">
      <w:pPr>
        <w:spacing w:line="1" w:lineRule="exact"/>
        <w:rPr>
          <w:rFonts w:ascii="Times New Roman" w:hAnsi="Times New Roman" w:cs="Times New Roman"/>
          <w:sz w:val="20"/>
          <w:szCs w:val="20"/>
        </w:rPr>
      </w:pPr>
    </w:p>
    <w:p w14:paraId="2E3538A8" w14:textId="4ACB42EC" w:rsidR="00804B72" w:rsidRDefault="00804B72">
      <w:pPr>
        <w:spacing w:line="1" w:lineRule="exact"/>
        <w:rPr>
          <w:rFonts w:ascii="Times New Roman" w:hAnsi="Times New Roman" w:cs="Times New Roman"/>
          <w:sz w:val="20"/>
          <w:szCs w:val="20"/>
        </w:rPr>
      </w:pPr>
    </w:p>
    <w:p w14:paraId="72D332EB" w14:textId="2B5563BF" w:rsidR="00804B72" w:rsidRDefault="00804B72">
      <w:pPr>
        <w:spacing w:line="1" w:lineRule="exact"/>
        <w:rPr>
          <w:rFonts w:ascii="Times New Roman" w:hAnsi="Times New Roman" w:cs="Times New Roman"/>
          <w:sz w:val="20"/>
          <w:szCs w:val="20"/>
        </w:rPr>
      </w:pPr>
    </w:p>
    <w:p w14:paraId="05E07254" w14:textId="0E8EAF20" w:rsidR="00804B72" w:rsidRDefault="00804B72">
      <w:pPr>
        <w:spacing w:line="1" w:lineRule="exact"/>
        <w:rPr>
          <w:rFonts w:ascii="Times New Roman" w:hAnsi="Times New Roman" w:cs="Times New Roman"/>
          <w:sz w:val="20"/>
          <w:szCs w:val="20"/>
        </w:rPr>
      </w:pPr>
    </w:p>
    <w:p w14:paraId="12E1115B" w14:textId="5F638269" w:rsidR="00804B72" w:rsidRDefault="00804B72">
      <w:pPr>
        <w:spacing w:line="1" w:lineRule="exact"/>
        <w:rPr>
          <w:rFonts w:ascii="Times New Roman" w:hAnsi="Times New Roman" w:cs="Times New Roman"/>
          <w:sz w:val="20"/>
          <w:szCs w:val="20"/>
        </w:rPr>
      </w:pPr>
    </w:p>
    <w:p w14:paraId="078ED263" w14:textId="0D29C415" w:rsidR="00804B72" w:rsidRDefault="00804B72">
      <w:pPr>
        <w:spacing w:line="1" w:lineRule="exact"/>
        <w:rPr>
          <w:rFonts w:ascii="Times New Roman" w:hAnsi="Times New Roman" w:cs="Times New Roman"/>
          <w:sz w:val="20"/>
          <w:szCs w:val="20"/>
        </w:rPr>
      </w:pPr>
    </w:p>
    <w:p w14:paraId="1654223D" w14:textId="34B23203" w:rsidR="00804B72" w:rsidRDefault="00804B72">
      <w:pPr>
        <w:spacing w:line="1" w:lineRule="exact"/>
        <w:rPr>
          <w:rFonts w:ascii="Times New Roman" w:hAnsi="Times New Roman" w:cs="Times New Roman"/>
          <w:sz w:val="20"/>
          <w:szCs w:val="20"/>
        </w:rPr>
      </w:pPr>
    </w:p>
    <w:p w14:paraId="33356B3E" w14:textId="235FEE4F" w:rsidR="00804B72" w:rsidRDefault="00804B72">
      <w:pPr>
        <w:spacing w:line="1" w:lineRule="exact"/>
        <w:rPr>
          <w:rFonts w:ascii="Times New Roman" w:hAnsi="Times New Roman" w:cs="Times New Roman"/>
          <w:sz w:val="20"/>
          <w:szCs w:val="20"/>
        </w:rPr>
      </w:pPr>
    </w:p>
    <w:p w14:paraId="32461CCC" w14:textId="46CB9E9E" w:rsidR="00804B72" w:rsidRDefault="00804B72">
      <w:pPr>
        <w:spacing w:line="1" w:lineRule="exact"/>
        <w:rPr>
          <w:rFonts w:ascii="Times New Roman" w:hAnsi="Times New Roman" w:cs="Times New Roman"/>
          <w:sz w:val="20"/>
          <w:szCs w:val="20"/>
        </w:rPr>
      </w:pPr>
    </w:p>
    <w:p w14:paraId="0C90EB71" w14:textId="2EA511F0" w:rsidR="00804B72" w:rsidRDefault="00804B72">
      <w:pPr>
        <w:spacing w:line="1" w:lineRule="exact"/>
        <w:rPr>
          <w:rFonts w:ascii="Times New Roman" w:hAnsi="Times New Roman" w:cs="Times New Roman"/>
          <w:sz w:val="20"/>
          <w:szCs w:val="20"/>
        </w:rPr>
      </w:pPr>
    </w:p>
    <w:p w14:paraId="0DADED65" w14:textId="647900EC" w:rsidR="00804B72" w:rsidRDefault="00804B72">
      <w:pPr>
        <w:spacing w:line="1" w:lineRule="exact"/>
        <w:rPr>
          <w:rFonts w:ascii="Times New Roman" w:hAnsi="Times New Roman" w:cs="Times New Roman"/>
          <w:sz w:val="20"/>
          <w:szCs w:val="20"/>
        </w:rPr>
      </w:pPr>
    </w:p>
    <w:p w14:paraId="112557A5" w14:textId="60A01CB9" w:rsidR="00804B72" w:rsidRDefault="00804B72">
      <w:pPr>
        <w:spacing w:line="1" w:lineRule="exact"/>
        <w:rPr>
          <w:rFonts w:ascii="Times New Roman" w:hAnsi="Times New Roman" w:cs="Times New Roman"/>
          <w:sz w:val="20"/>
          <w:szCs w:val="20"/>
        </w:rPr>
      </w:pPr>
    </w:p>
    <w:p w14:paraId="797ABF7E" w14:textId="75114041" w:rsidR="00804B72" w:rsidRDefault="00804B72">
      <w:pPr>
        <w:spacing w:line="1" w:lineRule="exact"/>
        <w:rPr>
          <w:rFonts w:ascii="Times New Roman" w:hAnsi="Times New Roman" w:cs="Times New Roman"/>
          <w:sz w:val="20"/>
          <w:szCs w:val="20"/>
        </w:rPr>
      </w:pPr>
    </w:p>
    <w:p w14:paraId="31DAE4A4" w14:textId="35823821" w:rsidR="00804B72" w:rsidRDefault="00804B72">
      <w:pPr>
        <w:spacing w:line="1" w:lineRule="exact"/>
        <w:rPr>
          <w:rFonts w:ascii="Times New Roman" w:hAnsi="Times New Roman" w:cs="Times New Roman"/>
          <w:sz w:val="20"/>
          <w:szCs w:val="20"/>
        </w:rPr>
      </w:pPr>
    </w:p>
    <w:p w14:paraId="5FB00794" w14:textId="7F1F9E71" w:rsidR="00804B72" w:rsidRDefault="00804B72">
      <w:pPr>
        <w:spacing w:line="1" w:lineRule="exact"/>
        <w:rPr>
          <w:rFonts w:ascii="Times New Roman" w:hAnsi="Times New Roman" w:cs="Times New Roman"/>
          <w:sz w:val="20"/>
          <w:szCs w:val="20"/>
        </w:rPr>
      </w:pPr>
    </w:p>
    <w:p w14:paraId="7B0E418B" w14:textId="6CF5724C" w:rsidR="00804B72" w:rsidRDefault="00804B72">
      <w:pPr>
        <w:spacing w:line="1" w:lineRule="exact"/>
        <w:rPr>
          <w:rFonts w:ascii="Times New Roman" w:hAnsi="Times New Roman" w:cs="Times New Roman"/>
          <w:sz w:val="20"/>
          <w:szCs w:val="20"/>
        </w:rPr>
      </w:pPr>
    </w:p>
    <w:p w14:paraId="1F2EB0BE" w14:textId="5D3F287C" w:rsidR="00804B72" w:rsidRDefault="00804B72">
      <w:pPr>
        <w:spacing w:line="1" w:lineRule="exact"/>
        <w:rPr>
          <w:rFonts w:ascii="Times New Roman" w:hAnsi="Times New Roman" w:cs="Times New Roman"/>
          <w:sz w:val="20"/>
          <w:szCs w:val="20"/>
        </w:rPr>
      </w:pPr>
    </w:p>
    <w:p w14:paraId="5B01177A" w14:textId="53EE9BE1" w:rsidR="00804B72" w:rsidRDefault="00804B72">
      <w:pPr>
        <w:spacing w:line="1" w:lineRule="exact"/>
        <w:rPr>
          <w:rFonts w:ascii="Times New Roman" w:hAnsi="Times New Roman" w:cs="Times New Roman"/>
          <w:sz w:val="20"/>
          <w:szCs w:val="20"/>
        </w:rPr>
      </w:pPr>
    </w:p>
    <w:p w14:paraId="03DEEA8C" w14:textId="19D8AE3D" w:rsidR="00804B72" w:rsidRDefault="00804B72">
      <w:pPr>
        <w:spacing w:line="1" w:lineRule="exact"/>
        <w:rPr>
          <w:rFonts w:ascii="Times New Roman" w:hAnsi="Times New Roman" w:cs="Times New Roman"/>
          <w:sz w:val="20"/>
          <w:szCs w:val="20"/>
        </w:rPr>
      </w:pPr>
    </w:p>
    <w:p w14:paraId="28A12889" w14:textId="499CE975" w:rsidR="00804B72" w:rsidRDefault="00804B72">
      <w:pPr>
        <w:spacing w:line="1" w:lineRule="exact"/>
        <w:rPr>
          <w:rFonts w:ascii="Times New Roman" w:hAnsi="Times New Roman" w:cs="Times New Roman"/>
          <w:sz w:val="20"/>
          <w:szCs w:val="20"/>
        </w:rPr>
      </w:pPr>
    </w:p>
    <w:p w14:paraId="23B5179B" w14:textId="75575093" w:rsidR="00804B72" w:rsidRDefault="00804B72">
      <w:pPr>
        <w:spacing w:line="1" w:lineRule="exact"/>
        <w:rPr>
          <w:rFonts w:ascii="Times New Roman" w:hAnsi="Times New Roman" w:cs="Times New Roman"/>
          <w:sz w:val="20"/>
          <w:szCs w:val="20"/>
        </w:rPr>
      </w:pPr>
    </w:p>
    <w:p w14:paraId="31BB0B3E" w14:textId="6FAB1C77" w:rsidR="00804B72" w:rsidRDefault="00804B72">
      <w:pPr>
        <w:spacing w:line="1" w:lineRule="exact"/>
        <w:rPr>
          <w:rFonts w:ascii="Times New Roman" w:hAnsi="Times New Roman" w:cs="Times New Roman"/>
          <w:sz w:val="20"/>
          <w:szCs w:val="20"/>
        </w:rPr>
      </w:pPr>
    </w:p>
    <w:p w14:paraId="1270045C" w14:textId="6E63EC1A" w:rsidR="00804B72" w:rsidRDefault="00804B72">
      <w:pPr>
        <w:spacing w:line="1" w:lineRule="exact"/>
        <w:rPr>
          <w:rFonts w:ascii="Times New Roman" w:hAnsi="Times New Roman" w:cs="Times New Roman"/>
          <w:sz w:val="20"/>
          <w:szCs w:val="20"/>
        </w:rPr>
      </w:pPr>
    </w:p>
    <w:p w14:paraId="0A658182" w14:textId="7326069B" w:rsidR="00804B72" w:rsidRDefault="00804B72">
      <w:pPr>
        <w:spacing w:line="1" w:lineRule="exact"/>
        <w:rPr>
          <w:rFonts w:ascii="Times New Roman" w:hAnsi="Times New Roman" w:cs="Times New Roman"/>
          <w:sz w:val="20"/>
          <w:szCs w:val="20"/>
        </w:rPr>
      </w:pPr>
    </w:p>
    <w:p w14:paraId="14D852DC" w14:textId="49EF80C9" w:rsidR="00804B72" w:rsidRDefault="00804B72">
      <w:pPr>
        <w:spacing w:line="1" w:lineRule="exact"/>
        <w:rPr>
          <w:rFonts w:ascii="Times New Roman" w:hAnsi="Times New Roman" w:cs="Times New Roman"/>
          <w:sz w:val="20"/>
          <w:szCs w:val="20"/>
        </w:rPr>
      </w:pPr>
    </w:p>
    <w:p w14:paraId="042C8813" w14:textId="21F0A243" w:rsidR="00804B72" w:rsidRDefault="00804B72">
      <w:pPr>
        <w:spacing w:line="1" w:lineRule="exact"/>
        <w:rPr>
          <w:rFonts w:ascii="Times New Roman" w:hAnsi="Times New Roman" w:cs="Times New Roman"/>
          <w:sz w:val="20"/>
          <w:szCs w:val="20"/>
        </w:rPr>
      </w:pPr>
    </w:p>
    <w:p w14:paraId="278DB437" w14:textId="02476D96" w:rsidR="00804B72" w:rsidRDefault="00804B72">
      <w:pPr>
        <w:spacing w:line="1" w:lineRule="exact"/>
        <w:rPr>
          <w:rFonts w:ascii="Times New Roman" w:hAnsi="Times New Roman" w:cs="Times New Roman"/>
          <w:sz w:val="20"/>
          <w:szCs w:val="20"/>
        </w:rPr>
      </w:pPr>
    </w:p>
    <w:p w14:paraId="7107EAF7" w14:textId="77777777" w:rsidR="00804B72" w:rsidRDefault="00804B72" w:rsidP="00804B72">
      <w:pPr>
        <w:autoSpaceDE w:val="0"/>
        <w:autoSpaceDN w:val="0"/>
        <w:adjustRightInd w:val="0"/>
        <w:spacing w:before="120"/>
        <w:jc w:val="both"/>
        <w:rPr>
          <w:b/>
          <w:sz w:val="26"/>
          <w:szCs w:val="26"/>
        </w:rPr>
      </w:pPr>
    </w:p>
    <w:p w14:paraId="4E7691B5" w14:textId="1312C3A2" w:rsidR="00FC205F" w:rsidRDefault="00FC205F" w:rsidP="00FC205F">
      <w:pPr>
        <w:autoSpaceDE w:val="0"/>
        <w:autoSpaceDN w:val="0"/>
        <w:adjustRightInd w:val="0"/>
        <w:ind w:firstLine="567"/>
        <w:jc w:val="both"/>
        <w:rPr>
          <w:rFonts w:ascii="Times New Roman" w:hAnsi="Times New Roman" w:cs="Times New Roman"/>
        </w:rPr>
      </w:pPr>
      <w:bookmarkStart w:id="0" w:name="_GoBack"/>
      <w:r w:rsidRPr="00F973CA">
        <w:rPr>
          <w:rFonts w:ascii="Times New Roman" w:hAnsi="Times New Roman" w:cs="Times New Roman"/>
          <w:b/>
        </w:rPr>
        <w:t>Контактная информация для направления обращений:</w:t>
      </w:r>
      <w:r w:rsidRPr="00F973CA">
        <w:rPr>
          <w:rFonts w:ascii="Times New Roman" w:hAnsi="Times New Roman" w:cs="Times New Roman"/>
        </w:rPr>
        <w:t xml:space="preserve"> </w:t>
      </w:r>
    </w:p>
    <w:p w14:paraId="51E7E7A8" w14:textId="77777777" w:rsidR="00FC205F" w:rsidRPr="00F973CA" w:rsidRDefault="00FC205F" w:rsidP="00FC205F">
      <w:pPr>
        <w:autoSpaceDE w:val="0"/>
        <w:autoSpaceDN w:val="0"/>
        <w:adjustRightInd w:val="0"/>
        <w:jc w:val="both"/>
        <w:rPr>
          <w:rFonts w:ascii="Times New Roman" w:hAnsi="Times New Roman" w:cs="Times New Roman"/>
        </w:rPr>
      </w:pPr>
    </w:p>
    <w:p w14:paraId="35C0B37B" w14:textId="77777777" w:rsidR="00FC205F" w:rsidRPr="00F973CA" w:rsidRDefault="00FC205F" w:rsidP="00FC205F">
      <w:pPr>
        <w:shd w:val="clear" w:color="auto" w:fill="FFFFFF"/>
        <w:spacing w:after="75"/>
        <w:rPr>
          <w:rFonts w:ascii="Times New Roman" w:hAnsi="Times New Roman" w:cs="Times New Roman"/>
        </w:rPr>
      </w:pPr>
      <w:r w:rsidRPr="00F973CA">
        <w:rPr>
          <w:rFonts w:ascii="Times New Roman" w:hAnsi="Times New Roman" w:cs="Times New Roman"/>
        </w:rPr>
        <w:t xml:space="preserve">Почтовый адрес электронной почты АО «Тверьгорэлектро»: </w:t>
      </w:r>
      <w:hyperlink r:id="rId7" w:tgtFrame="_blank" w:history="1">
        <w:r w:rsidRPr="00F973CA">
          <w:rPr>
            <w:rFonts w:ascii="Times New Roman" w:hAnsi="Times New Roman" w:cs="Times New Roman"/>
          </w:rPr>
          <w:t xml:space="preserve">г. Тверь, ул. </w:t>
        </w:r>
        <w:proofErr w:type="spellStart"/>
        <w:r w:rsidRPr="00F973CA">
          <w:rPr>
            <w:rFonts w:ascii="Times New Roman" w:hAnsi="Times New Roman" w:cs="Times New Roman"/>
          </w:rPr>
          <w:t>Ротмистрова</w:t>
        </w:r>
        <w:proofErr w:type="spellEnd"/>
        <w:r w:rsidRPr="00F973CA">
          <w:rPr>
            <w:rFonts w:ascii="Times New Roman" w:hAnsi="Times New Roman" w:cs="Times New Roman"/>
          </w:rPr>
          <w:t>, 27</w:t>
        </w:r>
      </w:hyperlink>
    </w:p>
    <w:p w14:paraId="3CB250A6" w14:textId="77777777" w:rsidR="00FC205F" w:rsidRPr="00F973CA" w:rsidRDefault="00FC205F" w:rsidP="00FC205F">
      <w:pPr>
        <w:shd w:val="clear" w:color="auto" w:fill="FFFFFF"/>
        <w:spacing w:after="75"/>
        <w:rPr>
          <w:rFonts w:ascii="Times New Roman" w:hAnsi="Times New Roman" w:cs="Times New Roman"/>
        </w:rPr>
      </w:pPr>
      <w:r w:rsidRPr="00F973CA">
        <w:rPr>
          <w:rFonts w:ascii="Times New Roman" w:hAnsi="Times New Roman" w:cs="Times New Roman"/>
        </w:rPr>
        <w:t xml:space="preserve">Адрес электронной почты АО «Тверьгорэлектро»: </w:t>
      </w:r>
      <w:hyperlink r:id="rId8" w:history="1">
        <w:r w:rsidRPr="00F973CA">
          <w:rPr>
            <w:rFonts w:ascii="Times New Roman" w:hAnsi="Times New Roman" w:cs="Times New Roman"/>
          </w:rPr>
          <w:t>muptge@tver-elektro.ru</w:t>
        </w:r>
      </w:hyperlink>
    </w:p>
    <w:p w14:paraId="1FCCB76A" w14:textId="77777777" w:rsidR="00FC205F" w:rsidRDefault="00FC205F" w:rsidP="00FC205F">
      <w:pPr>
        <w:spacing w:after="239" w:line="1" w:lineRule="exact"/>
      </w:pPr>
    </w:p>
    <w:bookmarkEnd w:id="0"/>
    <w:p w14:paraId="0943D189" w14:textId="77777777" w:rsidR="00804B72" w:rsidRPr="00804B72" w:rsidRDefault="00804B72">
      <w:pPr>
        <w:spacing w:line="1" w:lineRule="exact"/>
        <w:rPr>
          <w:rFonts w:ascii="Times New Roman" w:hAnsi="Times New Roman" w:cs="Times New Roman"/>
          <w:sz w:val="22"/>
          <w:szCs w:val="22"/>
        </w:rPr>
      </w:pPr>
    </w:p>
    <w:sectPr w:rsidR="00804B72" w:rsidRPr="00804B72" w:rsidSect="00D633DA">
      <w:pgSz w:w="16840" w:h="11900" w:orient="landscape"/>
      <w:pgMar w:top="759" w:right="680" w:bottom="426" w:left="1302" w:header="331" w:footer="2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C0BE" w14:textId="77777777" w:rsidR="00470EAF" w:rsidRDefault="00470EAF">
      <w:r>
        <w:separator/>
      </w:r>
    </w:p>
  </w:endnote>
  <w:endnote w:type="continuationSeparator" w:id="0">
    <w:p w14:paraId="6B38E8F5" w14:textId="77777777" w:rsidR="00470EAF" w:rsidRDefault="0047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5608" w14:textId="77777777" w:rsidR="00470EAF" w:rsidRDefault="00470EAF"/>
  </w:footnote>
  <w:footnote w:type="continuationSeparator" w:id="0">
    <w:p w14:paraId="68AE415B" w14:textId="77777777" w:rsidR="00470EAF" w:rsidRDefault="00470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5514E"/>
    <w:multiLevelType w:val="multilevel"/>
    <w:tmpl w:val="A9907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5D"/>
    <w:rsid w:val="00470EAF"/>
    <w:rsid w:val="00723A2A"/>
    <w:rsid w:val="007420E7"/>
    <w:rsid w:val="007D6890"/>
    <w:rsid w:val="00804B72"/>
    <w:rsid w:val="00854C1D"/>
    <w:rsid w:val="00D633DA"/>
    <w:rsid w:val="00D77BE4"/>
    <w:rsid w:val="00F9295D"/>
    <w:rsid w:val="00FC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A54E"/>
  <w15:docId w15:val="{8F62A230-F953-40CC-AED4-D734964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singl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spacing w:after="100"/>
    </w:pPr>
    <w:rPr>
      <w:rFonts w:ascii="Times New Roman" w:eastAsia="Times New Roman" w:hAnsi="Times New Roman" w:cs="Times New Roman"/>
    </w:rPr>
  </w:style>
  <w:style w:type="paragraph" w:customStyle="1" w:styleId="a5">
    <w:name w:val="Подпись к таблице"/>
    <w:basedOn w:val="a"/>
    <w:link w:val="a4"/>
    <w:rPr>
      <w:rFonts w:ascii="Times New Roman" w:eastAsia="Times New Roman" w:hAnsi="Times New Roman" w:cs="Times New Roman"/>
      <w:b/>
      <w:bCs/>
      <w:u w:val="single"/>
    </w:rPr>
  </w:style>
  <w:style w:type="paragraph" w:customStyle="1" w:styleId="a7">
    <w:name w:val="Другое"/>
    <w:basedOn w:val="a"/>
    <w:link w:val="a6"/>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b/>
      <w:bCs/>
      <w:u w:val="single"/>
    </w:rPr>
  </w:style>
  <w:style w:type="paragraph" w:customStyle="1" w:styleId="20">
    <w:name w:val="Заголовок №2"/>
    <w:basedOn w:val="a"/>
    <w:link w:val="2"/>
    <w:pPr>
      <w:outlineLvl w:val="1"/>
    </w:pPr>
    <w:rPr>
      <w:rFonts w:ascii="Times New Roman" w:eastAsia="Times New Roman" w:hAnsi="Times New Roman" w:cs="Times New Roman"/>
    </w:rPr>
  </w:style>
  <w:style w:type="table" w:styleId="a8">
    <w:name w:val="Table Grid"/>
    <w:basedOn w:val="a1"/>
    <w:uiPriority w:val="39"/>
    <w:rsid w:val="007D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Подпись к картинке_"/>
    <w:basedOn w:val="a0"/>
    <w:link w:val="aa"/>
    <w:rsid w:val="00D633DA"/>
    <w:rPr>
      <w:rFonts w:ascii="Times New Roman" w:eastAsia="Times New Roman" w:hAnsi="Times New Roman" w:cs="Times New Roman"/>
      <w:b/>
      <w:bCs/>
      <w:sz w:val="22"/>
      <w:szCs w:val="22"/>
    </w:rPr>
  </w:style>
  <w:style w:type="paragraph" w:customStyle="1" w:styleId="aa">
    <w:name w:val="Подпись к картинке"/>
    <w:basedOn w:val="a"/>
    <w:link w:val="a9"/>
    <w:rsid w:val="00D633DA"/>
    <w:rPr>
      <w:rFonts w:ascii="Times New Roman" w:eastAsia="Times New Roman" w:hAnsi="Times New Roman" w:cs="Times New Roman"/>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uptge@tver-elektro.ru" TargetMode="External"/><Relationship Id="rId3" Type="http://schemas.openxmlformats.org/officeDocument/2006/relationships/settings" Target="settings.xml"/><Relationship Id="rId7" Type="http://schemas.openxmlformats.org/officeDocument/2006/relationships/hyperlink" Target="https://yandex.ru/maps/14/tver/house/ulitsa_rotmistrova_27/Z0wYfwVoTEAGQFtsfXR1d35jbQ==/?ll=35.928551%2C56.846209&amp;utm_source=main_stripe_big&amp;z=1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 Александр Владимирович</dc:creator>
  <cp:keywords/>
  <cp:lastModifiedBy>Семенко Роман Владимирович</cp:lastModifiedBy>
  <cp:revision>4</cp:revision>
  <dcterms:created xsi:type="dcterms:W3CDTF">2023-02-16T12:24:00Z</dcterms:created>
  <dcterms:modified xsi:type="dcterms:W3CDTF">2023-02-16T12:48:00Z</dcterms:modified>
</cp:coreProperties>
</file>